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6BAE" w14:textId="77777777" w:rsidR="00EE321A" w:rsidRPr="00F04127" w:rsidRDefault="00EE321A" w:rsidP="008D08EA">
      <w:pPr>
        <w:pStyle w:val="BodyText"/>
      </w:pPr>
    </w:p>
    <w:p w14:paraId="1236A5FD" w14:textId="77777777" w:rsidR="00EE321A" w:rsidRPr="00F04127" w:rsidRDefault="00EE321A" w:rsidP="00EE321A">
      <w:pPr>
        <w:rPr>
          <w:sz w:val="28"/>
          <w:szCs w:val="28"/>
        </w:rPr>
      </w:pPr>
    </w:p>
    <w:p w14:paraId="558AA217" w14:textId="77777777" w:rsidR="0091104F" w:rsidRPr="00F04127" w:rsidRDefault="0091104F" w:rsidP="008D08EA">
      <w:pPr>
        <w:pStyle w:val="BodyText"/>
      </w:pPr>
    </w:p>
    <w:p w14:paraId="42793BA0" w14:textId="77777777" w:rsidR="005E1A66" w:rsidRPr="00F04127" w:rsidRDefault="005E1A66" w:rsidP="008D08EA">
      <w:pPr>
        <w:pStyle w:val="BodyText"/>
      </w:pPr>
      <w:bookmarkStart w:id="0" w:name="_Toc489966473"/>
      <w:bookmarkStart w:id="1" w:name="_Toc489972311"/>
    </w:p>
    <w:p w14:paraId="3FF138D9" w14:textId="28DB190F" w:rsidR="009A20EC" w:rsidRPr="00F04127" w:rsidRDefault="0031090B" w:rsidP="009A20EC">
      <w:pPr>
        <w:pStyle w:val="Heading1"/>
      </w:pPr>
      <w:r w:rsidRPr="00F04127">
        <w:t xml:space="preserve">ISP </w:t>
      </w:r>
      <w:r w:rsidR="007C73B4" w:rsidRPr="00F04127">
        <w:t xml:space="preserve">Transfer </w:t>
      </w:r>
      <w:r w:rsidR="009257B5" w:rsidRPr="00F04127">
        <w:t>Policy</w:t>
      </w:r>
    </w:p>
    <w:p w14:paraId="241EC0DD" w14:textId="77777777" w:rsidR="0005754E" w:rsidRPr="00F04127" w:rsidRDefault="0005754E" w:rsidP="0005754E">
      <w:pPr>
        <w:pStyle w:val="Heading2"/>
      </w:pPr>
      <w:r w:rsidRPr="00F04127">
        <w:t>Purpose</w:t>
      </w:r>
    </w:p>
    <w:p w14:paraId="67F2D4EC" w14:textId="6B2018F2" w:rsidR="00060E05" w:rsidRPr="00F04127" w:rsidRDefault="0005754E" w:rsidP="00533904">
      <w:pPr>
        <w:pStyle w:val="BodyText"/>
      </w:pPr>
      <w:r w:rsidRPr="00F04127">
        <w:t xml:space="preserve">This policy </w:t>
      </w:r>
      <w:r w:rsidR="006074CA" w:rsidRPr="00F04127">
        <w:t>outlines</w:t>
      </w:r>
      <w:r w:rsidRPr="00F04127">
        <w:t xml:space="preserve"> </w:t>
      </w:r>
      <w:r w:rsidR="006074CA" w:rsidRPr="00F04127">
        <w:t xml:space="preserve">the </w:t>
      </w:r>
      <w:r w:rsidR="007C73B4" w:rsidRPr="00F04127">
        <w:t xml:space="preserve">approach of </w:t>
      </w:r>
      <w:r w:rsidR="00533904" w:rsidRPr="00F04127">
        <w:t>the Depart</w:t>
      </w:r>
      <w:r w:rsidR="00E457F2" w:rsidRPr="00F04127">
        <w:t>ment of Education and Training</w:t>
      </w:r>
      <w:r w:rsidR="00E53693" w:rsidRPr="00F04127">
        <w:t xml:space="preserve"> (</w:t>
      </w:r>
      <w:r w:rsidR="00E457F2" w:rsidRPr="00F04127">
        <w:t>International Education Division</w:t>
      </w:r>
      <w:r w:rsidR="00E53693" w:rsidRPr="00F04127">
        <w:t>)</w:t>
      </w:r>
      <w:r w:rsidR="00E457F2" w:rsidRPr="00F04127">
        <w:t xml:space="preserve"> </w:t>
      </w:r>
      <w:r w:rsidR="00533904" w:rsidRPr="00F04127">
        <w:t>(</w:t>
      </w:r>
      <w:r w:rsidR="00894FF8" w:rsidRPr="00F04127">
        <w:t xml:space="preserve">DET (IED)) </w:t>
      </w:r>
      <w:r w:rsidR="00F039AB" w:rsidRPr="00F04127">
        <w:t xml:space="preserve">in </w:t>
      </w:r>
      <w:r w:rsidR="007C73B4" w:rsidRPr="00F04127">
        <w:t xml:space="preserve">assessing </w:t>
      </w:r>
      <w:r w:rsidR="00503B96" w:rsidRPr="00F04127">
        <w:t>international student applications</w:t>
      </w:r>
      <w:r w:rsidR="005735D0" w:rsidRPr="00F04127">
        <w:t xml:space="preserve"> </w:t>
      </w:r>
      <w:r w:rsidR="007C73B4" w:rsidRPr="00F04127">
        <w:t>for transfers</w:t>
      </w:r>
      <w:r w:rsidR="00F67CD3" w:rsidRPr="00F04127">
        <w:t xml:space="preserve"> as part of the International Student Program (ISP)</w:t>
      </w:r>
      <w:r w:rsidR="00060E05" w:rsidRPr="00F04127">
        <w:t>:</w:t>
      </w:r>
    </w:p>
    <w:p w14:paraId="1ADE0573" w14:textId="4BEBBA88" w:rsidR="007C73B4" w:rsidRPr="00F04127" w:rsidRDefault="00060E05" w:rsidP="00060E05">
      <w:pPr>
        <w:pStyle w:val="ListBullet"/>
      </w:pPr>
      <w:r w:rsidRPr="00F04127">
        <w:t>B</w:t>
      </w:r>
      <w:r w:rsidR="00533904" w:rsidRPr="00F04127">
        <w:t xml:space="preserve">etween </w:t>
      </w:r>
      <w:r w:rsidR="00F67CD3" w:rsidRPr="00F04127">
        <w:t>ISP-</w:t>
      </w:r>
      <w:r w:rsidR="006F441F" w:rsidRPr="00F04127">
        <w:t xml:space="preserve">accredited </w:t>
      </w:r>
      <w:r w:rsidR="00533904" w:rsidRPr="00F04127">
        <w:t>Victorian Government Schools (an ‘internal transfer’)</w:t>
      </w:r>
    </w:p>
    <w:p w14:paraId="5DAA66F3" w14:textId="59DD3E65" w:rsidR="00060E05" w:rsidRPr="00F04127" w:rsidRDefault="00060E05" w:rsidP="00060E05">
      <w:pPr>
        <w:pStyle w:val="ListBullet"/>
      </w:pPr>
      <w:r w:rsidRPr="00F04127">
        <w:t>From a</w:t>
      </w:r>
      <w:r w:rsidR="00B545AC" w:rsidRPr="00F04127">
        <w:t xml:space="preserve">n </w:t>
      </w:r>
      <w:r w:rsidR="00F67CD3" w:rsidRPr="00F04127">
        <w:t>ISP-</w:t>
      </w:r>
      <w:r w:rsidR="00B545AC" w:rsidRPr="00F04127">
        <w:t>accredited</w:t>
      </w:r>
      <w:r w:rsidRPr="00F04127">
        <w:t xml:space="preserve"> Victorian Government School to another </w:t>
      </w:r>
      <w:r w:rsidR="00B545AC" w:rsidRPr="00F04127">
        <w:t>provider registered on the Commonwealth Register of Institutions and Courses for Overseas Students (</w:t>
      </w:r>
      <w:r w:rsidRPr="00F04127">
        <w:t>CRICOS</w:t>
      </w:r>
      <w:r w:rsidR="00B545AC" w:rsidRPr="00F04127">
        <w:t xml:space="preserve">) </w:t>
      </w:r>
      <w:r w:rsidR="00B92F44" w:rsidRPr="00F04127">
        <w:t>(a</w:t>
      </w:r>
      <w:r w:rsidRPr="00F04127">
        <w:t xml:space="preserve"> ‘</w:t>
      </w:r>
      <w:r w:rsidR="00B92F44" w:rsidRPr="00F04127">
        <w:t>withdrawal</w:t>
      </w:r>
      <w:r w:rsidRPr="00F04127">
        <w:t>’).</w:t>
      </w:r>
    </w:p>
    <w:p w14:paraId="59699DB0" w14:textId="6515E04C" w:rsidR="007C73B4" w:rsidRPr="00F04127" w:rsidRDefault="00060E05" w:rsidP="00060E05">
      <w:pPr>
        <w:pStyle w:val="BodyText"/>
      </w:pPr>
      <w:r w:rsidRPr="00F04127">
        <w:t>T</w:t>
      </w:r>
      <w:r w:rsidR="00CE0CC1" w:rsidRPr="00F04127">
        <w:t xml:space="preserve">his policy does not deal with </w:t>
      </w:r>
      <w:r w:rsidRPr="00F04127">
        <w:t>transfers f</w:t>
      </w:r>
      <w:r w:rsidR="007C73B4" w:rsidRPr="00F04127">
        <w:t>rom another CRICOS-registered provider to a</w:t>
      </w:r>
      <w:r w:rsidR="00B545AC" w:rsidRPr="00F04127">
        <w:t xml:space="preserve">n </w:t>
      </w:r>
      <w:r w:rsidR="00F67CD3" w:rsidRPr="00F04127">
        <w:t>ISP-</w:t>
      </w:r>
      <w:r w:rsidR="00B545AC" w:rsidRPr="00F04127">
        <w:t>accredited</w:t>
      </w:r>
      <w:r w:rsidR="007C73B4" w:rsidRPr="00F04127">
        <w:t xml:space="preserve"> Victorian Government School – </w:t>
      </w:r>
      <w:r w:rsidR="00CE0CC1" w:rsidRPr="00F04127">
        <w:t xml:space="preserve">this is </w:t>
      </w:r>
      <w:r w:rsidR="00533904" w:rsidRPr="00F04127">
        <w:t xml:space="preserve">an ‘enrolment’ and is </w:t>
      </w:r>
      <w:r w:rsidR="00F67CD3" w:rsidRPr="00F04127">
        <w:t xml:space="preserve">covered </w:t>
      </w:r>
      <w:r w:rsidR="007C73B4" w:rsidRPr="00F04127">
        <w:t xml:space="preserve">in the </w:t>
      </w:r>
      <w:hyperlink r:id="rId12" w:history="1">
        <w:r w:rsidR="00994ACC" w:rsidRPr="00F04127">
          <w:rPr>
            <w:rStyle w:val="Hyperlink"/>
          </w:rPr>
          <w:t>ISP Admissions and Enrolment Policy</w:t>
        </w:r>
      </w:hyperlink>
      <w:r w:rsidR="00CE0CC1" w:rsidRPr="00F04127">
        <w:t>.</w:t>
      </w:r>
    </w:p>
    <w:p w14:paraId="5FEA7AEC" w14:textId="134A9EE0" w:rsidR="004A55D4" w:rsidRPr="00F04127" w:rsidRDefault="004A55D4" w:rsidP="004A55D4">
      <w:pPr>
        <w:pStyle w:val="BodyText"/>
      </w:pPr>
      <w:r w:rsidRPr="00F04127">
        <w:t xml:space="preserve">This policy should be read in conjunction with the </w:t>
      </w:r>
      <w:hyperlink r:id="rId13" w:history="1">
        <w:r w:rsidR="00994ACC" w:rsidRPr="00F04127">
          <w:rPr>
            <w:rStyle w:val="Hyperlink"/>
          </w:rPr>
          <w:t>ISP Transfer Procedure</w:t>
        </w:r>
      </w:hyperlink>
      <w:r w:rsidRPr="00F04127">
        <w:t xml:space="preserve">, and is for DET (IED) staff, international students and their </w:t>
      </w:r>
      <w:r w:rsidR="00F67CD3" w:rsidRPr="00F04127">
        <w:t>parents</w:t>
      </w:r>
      <w:r w:rsidRPr="00F04127">
        <w:t>,</w:t>
      </w:r>
      <w:r w:rsidR="00F67CD3" w:rsidRPr="00F04127">
        <w:t xml:space="preserve"> education</w:t>
      </w:r>
      <w:r w:rsidRPr="00F04127">
        <w:t xml:space="preserve"> agents and schools. </w:t>
      </w:r>
    </w:p>
    <w:p w14:paraId="69CBC889" w14:textId="77777777" w:rsidR="009A20EC" w:rsidRPr="00F04127" w:rsidRDefault="009A20EC" w:rsidP="009A20EC">
      <w:pPr>
        <w:pStyle w:val="Heading2"/>
      </w:pPr>
      <w:r w:rsidRPr="00F04127">
        <w:t>Scope</w:t>
      </w:r>
    </w:p>
    <w:p w14:paraId="49D90F4E" w14:textId="314F2CBC" w:rsidR="0094346D" w:rsidRPr="00F04127" w:rsidRDefault="0031090B" w:rsidP="008D08EA">
      <w:pPr>
        <w:pStyle w:val="BodyText"/>
      </w:pPr>
      <w:r w:rsidRPr="00F04127">
        <w:t>This policy applies to</w:t>
      </w:r>
      <w:r w:rsidR="00740BDB" w:rsidRPr="00F04127">
        <w:t xml:space="preserve"> </w:t>
      </w:r>
      <w:r w:rsidR="00E770C4" w:rsidRPr="00F04127">
        <w:t>international students participating in the ISP as the primary holder of a subclass 500 Student – Schools visa</w:t>
      </w:r>
      <w:r w:rsidR="00702D22" w:rsidRPr="00F04127">
        <w:t xml:space="preserve">. </w:t>
      </w:r>
    </w:p>
    <w:p w14:paraId="56A2DB1A" w14:textId="225B9E98" w:rsidR="0031090B" w:rsidRPr="00F04127" w:rsidRDefault="00CE0CC1" w:rsidP="00B92F44">
      <w:pPr>
        <w:pStyle w:val="Heading2"/>
      </w:pPr>
      <w:r w:rsidRPr="00F04127">
        <w:t xml:space="preserve">Internal transfers between </w:t>
      </w:r>
      <w:r w:rsidR="00060E05" w:rsidRPr="00F04127">
        <w:t xml:space="preserve">ISP-accredited </w:t>
      </w:r>
      <w:r w:rsidRPr="00F04127">
        <w:t>Victorian Government Schools</w:t>
      </w:r>
    </w:p>
    <w:p w14:paraId="28C72410" w14:textId="20D72C5C" w:rsidR="00510D7E" w:rsidRPr="00F04127" w:rsidRDefault="0042587E" w:rsidP="008C5B99">
      <w:pPr>
        <w:pStyle w:val="BodyText"/>
      </w:pPr>
      <w:r w:rsidRPr="00F04127">
        <w:t>A</w:t>
      </w:r>
      <w:r w:rsidR="00FB5A79" w:rsidRPr="00F04127">
        <w:t xml:space="preserve"> </w:t>
      </w:r>
      <w:r w:rsidR="004F149D" w:rsidRPr="00F04127">
        <w:t xml:space="preserve">student </w:t>
      </w:r>
      <w:r w:rsidRPr="00F04127">
        <w:t>may</w:t>
      </w:r>
      <w:r w:rsidR="004F149D" w:rsidRPr="00F04127">
        <w:t xml:space="preserve"> </w:t>
      </w:r>
      <w:r w:rsidRPr="00F04127">
        <w:t xml:space="preserve">apply to </w:t>
      </w:r>
      <w:r w:rsidR="004F149D" w:rsidRPr="00F04127">
        <w:t xml:space="preserve">transfer their enrolment </w:t>
      </w:r>
      <w:r w:rsidR="00CE0CC1" w:rsidRPr="00F04127">
        <w:t xml:space="preserve">from one </w:t>
      </w:r>
      <w:r w:rsidR="00533904" w:rsidRPr="00F04127">
        <w:t xml:space="preserve">ISP-accredited </w:t>
      </w:r>
      <w:r w:rsidR="004F149D" w:rsidRPr="00F04127">
        <w:t xml:space="preserve">Victorian government school </w:t>
      </w:r>
      <w:r w:rsidR="00CE0CC1" w:rsidRPr="00F04127">
        <w:t xml:space="preserve">to </w:t>
      </w:r>
      <w:r w:rsidR="004F149D" w:rsidRPr="00F04127">
        <w:t xml:space="preserve">another </w:t>
      </w:r>
      <w:r w:rsidR="00533904" w:rsidRPr="00F04127">
        <w:t xml:space="preserve">ISP-accredited </w:t>
      </w:r>
      <w:r w:rsidR="00CE0CC1" w:rsidRPr="00F04127">
        <w:t>Victorian government school</w:t>
      </w:r>
      <w:r w:rsidR="00C20C3A" w:rsidRPr="00F04127">
        <w:t>.</w:t>
      </w:r>
    </w:p>
    <w:p w14:paraId="02A283E6" w14:textId="30BDB3FE" w:rsidR="006748E8" w:rsidRPr="00F04127" w:rsidRDefault="006748E8" w:rsidP="008C5B99">
      <w:pPr>
        <w:pStyle w:val="BodyText"/>
      </w:pPr>
      <w:r w:rsidRPr="00F04127">
        <w:t xml:space="preserve">DET (IED) will assess an application for an internal transfer when it receives a completed </w:t>
      </w:r>
      <w:hyperlink r:id="rId14" w:history="1">
        <w:r w:rsidR="00994ACC" w:rsidRPr="00F04127">
          <w:rPr>
            <w:rStyle w:val="Hyperlink"/>
          </w:rPr>
          <w:t>Application for Internal Transfer to Another Accredited Victorian Government School</w:t>
        </w:r>
      </w:hyperlink>
      <w:r w:rsidRPr="00F04127">
        <w:t xml:space="preserve"> Form and the student has paid the Transfer Fee. </w:t>
      </w:r>
    </w:p>
    <w:p w14:paraId="52C228B8" w14:textId="70D3A65F" w:rsidR="00533904" w:rsidRPr="00F04127" w:rsidRDefault="00533904" w:rsidP="008C5B99">
      <w:pPr>
        <w:pStyle w:val="BodyText"/>
      </w:pPr>
      <w:r w:rsidRPr="00F04127">
        <w:t>DET (IED) will approve an internal transfer when:</w:t>
      </w:r>
    </w:p>
    <w:p w14:paraId="1DF7C452" w14:textId="4C98A4CE" w:rsidR="00C20C3A" w:rsidRPr="00F04127" w:rsidRDefault="00C20C3A" w:rsidP="00C20C3A">
      <w:pPr>
        <w:pStyle w:val="ListBullet"/>
      </w:pPr>
      <w:r w:rsidRPr="00F04127">
        <w:t>For applications made after six months (two terms) of enrolment:</w:t>
      </w:r>
    </w:p>
    <w:p w14:paraId="672DA320" w14:textId="78AEEF16" w:rsidR="00C20C3A" w:rsidRPr="00F04127" w:rsidRDefault="00740121" w:rsidP="00C20C3A">
      <w:pPr>
        <w:pStyle w:val="Bullet2"/>
      </w:pPr>
      <w:r w:rsidRPr="00F04127">
        <w:t>t</w:t>
      </w:r>
      <w:r w:rsidR="00C20C3A" w:rsidRPr="00F04127">
        <w:t xml:space="preserve">he student submits a completed </w:t>
      </w:r>
      <w:hyperlink r:id="rId15" w:history="1">
        <w:r w:rsidR="00994ACC" w:rsidRPr="00F04127">
          <w:rPr>
            <w:rStyle w:val="Hyperlink"/>
          </w:rPr>
          <w:t>Application for Internal Transfer to Another Accredited Victorian Government School</w:t>
        </w:r>
      </w:hyperlink>
      <w:r w:rsidR="00C20C3A" w:rsidRPr="00F04127">
        <w:t xml:space="preserve"> Form, within the time period outlined on the Form</w:t>
      </w:r>
    </w:p>
    <w:p w14:paraId="6BDED9FA" w14:textId="4640AD24" w:rsidR="00740121" w:rsidRPr="00F04127" w:rsidRDefault="00740121" w:rsidP="00740121">
      <w:pPr>
        <w:pStyle w:val="Bullet2"/>
      </w:pPr>
      <w:r w:rsidRPr="00F04127">
        <w:t xml:space="preserve">the transfer </w:t>
      </w:r>
      <w:r w:rsidR="00F67CD3" w:rsidRPr="00F04127">
        <w:t xml:space="preserve">is supported by a parent, </w:t>
      </w:r>
      <w:r w:rsidRPr="00F04127">
        <w:t>in writing</w:t>
      </w:r>
    </w:p>
    <w:p w14:paraId="6D986FE7" w14:textId="776B5668" w:rsidR="00C20C3A" w:rsidRPr="00F04127" w:rsidRDefault="00740121" w:rsidP="00B57539">
      <w:pPr>
        <w:pStyle w:val="Bullet2"/>
      </w:pPr>
      <w:r w:rsidRPr="00F04127">
        <w:t>t</w:t>
      </w:r>
      <w:r w:rsidR="00C20C3A" w:rsidRPr="00F04127">
        <w:t>he transfer is endorsed by the Current Host School and the New Host School</w:t>
      </w:r>
    </w:p>
    <w:p w14:paraId="0D1F84AE" w14:textId="3E384D98" w:rsidR="00533904" w:rsidRPr="00F04127" w:rsidRDefault="00740121" w:rsidP="00C20C3A">
      <w:pPr>
        <w:pStyle w:val="Bullet2"/>
      </w:pPr>
      <w:r w:rsidRPr="00F04127">
        <w:t>t</w:t>
      </w:r>
      <w:r w:rsidR="00C23E88" w:rsidRPr="00F04127">
        <w:t>he N</w:t>
      </w:r>
      <w:r w:rsidR="00533904" w:rsidRPr="00F04127">
        <w:t xml:space="preserve">ew </w:t>
      </w:r>
      <w:r w:rsidR="00C23E88" w:rsidRPr="00F04127">
        <w:t>Host S</w:t>
      </w:r>
      <w:r w:rsidR="00533904" w:rsidRPr="00F04127">
        <w:t xml:space="preserve">chool </w:t>
      </w:r>
      <w:r w:rsidR="00C20C3A" w:rsidRPr="00F04127">
        <w:t xml:space="preserve">is an ISP-accredited school and </w:t>
      </w:r>
      <w:r w:rsidR="00C23E88" w:rsidRPr="00F04127">
        <w:t xml:space="preserve">has capacity for the student, and (if applicable) </w:t>
      </w:r>
      <w:r w:rsidR="00533904" w:rsidRPr="00F04127">
        <w:t xml:space="preserve">can provide a DET-approved homestay </w:t>
      </w:r>
      <w:r w:rsidR="00C23E88" w:rsidRPr="00F04127">
        <w:t>to ensure there is</w:t>
      </w:r>
      <w:r w:rsidR="00533904" w:rsidRPr="00F04127">
        <w:t xml:space="preserve"> no gap between homestay arrangements finishing at </w:t>
      </w:r>
      <w:r w:rsidR="00C23E88" w:rsidRPr="00F04127">
        <w:t>the C</w:t>
      </w:r>
      <w:r w:rsidR="00533904" w:rsidRPr="00F04127">
        <w:t xml:space="preserve">urrent </w:t>
      </w:r>
      <w:r w:rsidR="00C23E88" w:rsidRPr="00F04127">
        <w:t>Host S</w:t>
      </w:r>
      <w:r w:rsidR="00533904" w:rsidRPr="00F04127">
        <w:t xml:space="preserve">chool and </w:t>
      </w:r>
      <w:r w:rsidR="005735D0" w:rsidRPr="00F04127">
        <w:t xml:space="preserve">the </w:t>
      </w:r>
      <w:r w:rsidR="00C23E88" w:rsidRPr="00F04127">
        <w:t>N</w:t>
      </w:r>
      <w:r w:rsidR="005735D0" w:rsidRPr="00F04127">
        <w:t xml:space="preserve">ew </w:t>
      </w:r>
      <w:r w:rsidR="00C23E88" w:rsidRPr="00F04127">
        <w:t>Host S</w:t>
      </w:r>
      <w:r w:rsidR="005735D0" w:rsidRPr="00F04127">
        <w:t>chool</w:t>
      </w:r>
    </w:p>
    <w:p w14:paraId="051FD6C8" w14:textId="013017AF" w:rsidR="00C20C3A" w:rsidRPr="00F04127" w:rsidRDefault="00740121" w:rsidP="00C20C3A">
      <w:pPr>
        <w:pStyle w:val="Bullet2"/>
      </w:pPr>
      <w:r w:rsidRPr="00F04127">
        <w:t>t</w:t>
      </w:r>
      <w:r w:rsidR="00C20C3A" w:rsidRPr="00F04127">
        <w:t xml:space="preserve">here are no outstanding fees owed to DET or </w:t>
      </w:r>
      <w:r w:rsidR="00F67CD3" w:rsidRPr="00F04127">
        <w:t>the Current Host S</w:t>
      </w:r>
      <w:r w:rsidR="00C20C3A" w:rsidRPr="00F04127">
        <w:t>chool in relation to the student’s enrolment</w:t>
      </w:r>
    </w:p>
    <w:p w14:paraId="222F5A60" w14:textId="268CFEFA" w:rsidR="00A24CE1" w:rsidRPr="00F04127" w:rsidRDefault="00A24CE1" w:rsidP="00A24CE1">
      <w:pPr>
        <w:pStyle w:val="Bullet2"/>
      </w:pPr>
      <w:r w:rsidRPr="00F04127">
        <w:t>the student is not on a Compliance Contract for course progress, attendance or misbehaviour</w:t>
      </w:r>
    </w:p>
    <w:p w14:paraId="6CB56B2D" w14:textId="61916728" w:rsidR="00C20C3A" w:rsidRPr="00F04127" w:rsidRDefault="00740121" w:rsidP="00C20C3A">
      <w:pPr>
        <w:pStyle w:val="Bullet2"/>
      </w:pPr>
      <w:r w:rsidRPr="00F04127">
        <w:t>t</w:t>
      </w:r>
      <w:r w:rsidR="00C20C3A" w:rsidRPr="00F04127">
        <w:t>he transfer is in the student’s best interests.</w:t>
      </w:r>
    </w:p>
    <w:p w14:paraId="386E8FBE" w14:textId="3F4F6D28" w:rsidR="00C20C3A" w:rsidRPr="00F04127" w:rsidRDefault="00C20C3A" w:rsidP="00C20C3A">
      <w:pPr>
        <w:pStyle w:val="ListBullet"/>
      </w:pPr>
      <w:r w:rsidRPr="00F04127">
        <w:t>For applications made less than six months (two terms) after commencement, the above conditions are met, and also:</w:t>
      </w:r>
    </w:p>
    <w:p w14:paraId="5265F0D8" w14:textId="06B28664" w:rsidR="00C23E88" w:rsidRPr="00F04127" w:rsidRDefault="00740121" w:rsidP="00C20C3A">
      <w:pPr>
        <w:pStyle w:val="Bullet2"/>
      </w:pPr>
      <w:r w:rsidRPr="00F04127">
        <w:t>th</w:t>
      </w:r>
      <w:r w:rsidR="00533904" w:rsidRPr="00F04127">
        <w:t>ere is evidence of compassionate or compelling circumstances</w:t>
      </w:r>
      <w:r w:rsidR="00C20C3A" w:rsidRPr="00F04127">
        <w:t>.</w:t>
      </w:r>
    </w:p>
    <w:p w14:paraId="3C49EC42" w14:textId="77777777" w:rsidR="00510D7E" w:rsidRPr="00F04127" w:rsidRDefault="00510D7E" w:rsidP="00510D7E">
      <w:pPr>
        <w:pStyle w:val="BodyText"/>
      </w:pPr>
      <w:r w:rsidRPr="00F04127">
        <w:t>If the conditions above are not met, DET (IED) will refuse the internal transfer request.</w:t>
      </w:r>
    </w:p>
    <w:p w14:paraId="4C14C55C" w14:textId="130AC840" w:rsidR="009D1020" w:rsidRPr="00F04127" w:rsidRDefault="009D1020" w:rsidP="009D1020">
      <w:pPr>
        <w:pStyle w:val="BodyText"/>
      </w:pPr>
      <w:r w:rsidRPr="00F04127">
        <w:t>DET (IED) advises the student and parent of the decision, in writing. A transfer can only occur after DET (IED) has issued a Confirmation of Transfer Letter.</w:t>
      </w:r>
    </w:p>
    <w:p w14:paraId="0427EA04" w14:textId="6A171AB2" w:rsidR="00510D7E" w:rsidRPr="00F04127" w:rsidRDefault="00510D7E" w:rsidP="00510D7E">
      <w:pPr>
        <w:pStyle w:val="BodyText"/>
      </w:pPr>
      <w:r w:rsidRPr="00F04127">
        <w:t>If DET (IED) refuses a</w:t>
      </w:r>
      <w:r w:rsidR="00A873A2" w:rsidRPr="00F04127">
        <w:t>n internal</w:t>
      </w:r>
      <w:r w:rsidRPr="00F04127">
        <w:t xml:space="preserve"> transfer request</w:t>
      </w:r>
      <w:r w:rsidR="00A873A2" w:rsidRPr="00F04127">
        <w:t xml:space="preserve">, it provides the </w:t>
      </w:r>
      <w:r w:rsidR="000D5372" w:rsidRPr="00F04127">
        <w:t xml:space="preserve">reasons for </w:t>
      </w:r>
      <w:r w:rsidR="00A873A2" w:rsidRPr="00F04127">
        <w:t xml:space="preserve">refusal </w:t>
      </w:r>
      <w:r w:rsidR="000D5372" w:rsidRPr="00F04127">
        <w:t xml:space="preserve">and </w:t>
      </w:r>
      <w:r w:rsidR="00A873A2" w:rsidRPr="00F04127">
        <w:t xml:space="preserve">advises the student of their right to appeal as outlined in the </w:t>
      </w:r>
      <w:hyperlink r:id="rId16" w:history="1">
        <w:r w:rsidR="00994ACC" w:rsidRPr="00F04127">
          <w:rPr>
            <w:rStyle w:val="Hyperlink"/>
          </w:rPr>
          <w:t>ISP Complaints and Appeals Policy</w:t>
        </w:r>
      </w:hyperlink>
      <w:r w:rsidR="00A873A2" w:rsidRPr="00F04127">
        <w:t>, within 20 working days.</w:t>
      </w:r>
    </w:p>
    <w:p w14:paraId="4254FC1F" w14:textId="556D3AB2" w:rsidR="00A633BA" w:rsidRPr="00F04127" w:rsidRDefault="005735D0" w:rsidP="008C5B99">
      <w:pPr>
        <w:pStyle w:val="BodyText"/>
      </w:pPr>
      <w:r w:rsidRPr="00F04127">
        <w:t>In considering transfer</w:t>
      </w:r>
      <w:r w:rsidR="00292930" w:rsidRPr="00F04127">
        <w:t>s between Victorian Government schools</w:t>
      </w:r>
      <w:r w:rsidR="00510D7E" w:rsidRPr="00F04127">
        <w:t>, the C</w:t>
      </w:r>
      <w:r w:rsidRPr="00F04127">
        <w:t xml:space="preserve">urrent </w:t>
      </w:r>
      <w:r w:rsidR="00510D7E" w:rsidRPr="00F04127">
        <w:t>Host S</w:t>
      </w:r>
      <w:r w:rsidRPr="00F04127">
        <w:t xml:space="preserve">chool and </w:t>
      </w:r>
      <w:r w:rsidR="00510D7E" w:rsidRPr="00F04127">
        <w:t>N</w:t>
      </w:r>
      <w:r w:rsidRPr="00F04127">
        <w:t xml:space="preserve">ew </w:t>
      </w:r>
      <w:r w:rsidR="00510D7E" w:rsidRPr="00F04127">
        <w:t>Host S</w:t>
      </w:r>
      <w:r w:rsidRPr="00F04127">
        <w:t>chool must comply with the</w:t>
      </w:r>
      <w:r w:rsidR="00C90E79">
        <w:t xml:space="preserve"> </w:t>
      </w:r>
      <w:hyperlink r:id="rId17" w:history="1">
        <w:r w:rsidR="00C90E79" w:rsidRPr="001D490B">
          <w:rPr>
            <w:rStyle w:val="Hyperlink"/>
          </w:rPr>
          <w:t>Enrolment Policy (PAL)- student transfers between schools</w:t>
        </w:r>
      </w:hyperlink>
      <w:r w:rsidR="00A633BA">
        <w:t>.</w:t>
      </w:r>
    </w:p>
    <w:p w14:paraId="5C37D42E" w14:textId="4D2AAE1E" w:rsidR="009D1020" w:rsidRPr="00F04127" w:rsidRDefault="009D1020" w:rsidP="008C5B99">
      <w:pPr>
        <w:pStyle w:val="BodyText"/>
      </w:pPr>
      <w:r w:rsidRPr="00F04127">
        <w:lastRenderedPageBreak/>
        <w:t xml:space="preserve">DET (IED) maintains records of all internal transfer requests, and DET (IED)’s assessment and decision in accordance with the </w:t>
      </w:r>
      <w:hyperlink r:id="rId18" w:history="1">
        <w:r w:rsidRPr="00F04127">
          <w:rPr>
            <w:rStyle w:val="Hyperlink"/>
          </w:rPr>
          <w:t>ISP Record Keeping Procedural Guidelines</w:t>
        </w:r>
      </w:hyperlink>
      <w:r w:rsidRPr="00F04127">
        <w:t>.</w:t>
      </w:r>
    </w:p>
    <w:p w14:paraId="5B5AA1D0" w14:textId="5D77090A" w:rsidR="00060E05" w:rsidRPr="00F04127" w:rsidRDefault="00B92F44" w:rsidP="00060E05">
      <w:pPr>
        <w:pStyle w:val="Heading2"/>
      </w:pPr>
      <w:r w:rsidRPr="00F04127">
        <w:t>T</w:t>
      </w:r>
      <w:r w:rsidR="00060E05" w:rsidRPr="00F04127">
        <w:t>ransfers from a Victorian Government School to a different CRICOS provider</w:t>
      </w:r>
    </w:p>
    <w:p w14:paraId="08DD1F26" w14:textId="609B2A4A" w:rsidR="00B92F44" w:rsidRPr="00F04127" w:rsidRDefault="00060E05" w:rsidP="00060E05">
      <w:pPr>
        <w:pStyle w:val="BodyText"/>
      </w:pPr>
      <w:r w:rsidRPr="00F04127">
        <w:t xml:space="preserve">A student may apply to transfer </w:t>
      </w:r>
      <w:r w:rsidR="00B92F44" w:rsidRPr="00F04127">
        <w:t xml:space="preserve">from an </w:t>
      </w:r>
      <w:r w:rsidRPr="00F04127">
        <w:t xml:space="preserve">ISP-accredited Victorian government school to </w:t>
      </w:r>
      <w:r w:rsidR="00B92F44" w:rsidRPr="00F04127">
        <w:t>a different CRICOS provider</w:t>
      </w:r>
      <w:r w:rsidR="009739F0" w:rsidRPr="00F04127">
        <w:t xml:space="preserve"> (a ‘withdrawal’)</w:t>
      </w:r>
      <w:r w:rsidRPr="00F04127">
        <w:t>.</w:t>
      </w:r>
    </w:p>
    <w:p w14:paraId="1FA71262" w14:textId="18D55023" w:rsidR="00C20C3A" w:rsidRPr="00F04127" w:rsidRDefault="00060E05" w:rsidP="00060E05">
      <w:pPr>
        <w:pStyle w:val="BodyText"/>
      </w:pPr>
      <w:r w:rsidRPr="00F04127">
        <w:t xml:space="preserve">DET (IED) will assess </w:t>
      </w:r>
      <w:r w:rsidR="006462F1" w:rsidRPr="00F04127">
        <w:t xml:space="preserve">and approve </w:t>
      </w:r>
      <w:r w:rsidRPr="00F04127">
        <w:t xml:space="preserve">an application for </w:t>
      </w:r>
      <w:r w:rsidR="009739F0" w:rsidRPr="00F04127">
        <w:t xml:space="preserve">a </w:t>
      </w:r>
      <w:r w:rsidRPr="00F04127">
        <w:t xml:space="preserve">transfer </w:t>
      </w:r>
      <w:r w:rsidR="009739F0" w:rsidRPr="00F04127">
        <w:t xml:space="preserve">to a different CRICOS provider </w:t>
      </w:r>
      <w:r w:rsidRPr="00F04127">
        <w:t>when</w:t>
      </w:r>
      <w:r w:rsidR="00C20C3A" w:rsidRPr="00F04127">
        <w:t>:</w:t>
      </w:r>
    </w:p>
    <w:p w14:paraId="32C18B71" w14:textId="77777777" w:rsidR="00C20C3A" w:rsidRPr="00F04127" w:rsidRDefault="00C20C3A" w:rsidP="00C20C3A">
      <w:pPr>
        <w:pStyle w:val="ListBullet"/>
      </w:pPr>
      <w:r w:rsidRPr="00F04127">
        <w:t>For applications made after six months (two terms) of enrolment:</w:t>
      </w:r>
    </w:p>
    <w:p w14:paraId="6BB2DE2C" w14:textId="13681AAC" w:rsidR="00740121" w:rsidRPr="00F04127" w:rsidRDefault="00740121" w:rsidP="00740121">
      <w:pPr>
        <w:pStyle w:val="Bullet2"/>
      </w:pPr>
      <w:r w:rsidRPr="00F04127">
        <w:t xml:space="preserve">the student submits a completed </w:t>
      </w:r>
      <w:hyperlink r:id="rId19" w:history="1">
        <w:r w:rsidR="00994ACC" w:rsidRPr="00F04127">
          <w:rPr>
            <w:rStyle w:val="Hyperlink"/>
          </w:rPr>
          <w:t>Withdrawal Form</w:t>
        </w:r>
      </w:hyperlink>
      <w:r w:rsidR="003B52C2" w:rsidRPr="00F04127">
        <w:t>, signed by the parent and Principal (or delegate) of the Current Host School</w:t>
      </w:r>
    </w:p>
    <w:p w14:paraId="39313A1C" w14:textId="77777777" w:rsidR="00A24CE1" w:rsidRPr="00F04127" w:rsidRDefault="00740121" w:rsidP="00A24CE1">
      <w:pPr>
        <w:pStyle w:val="Bullet2"/>
      </w:pPr>
      <w:r w:rsidRPr="00F04127">
        <w:t>t</w:t>
      </w:r>
      <w:r w:rsidR="00C20C3A" w:rsidRPr="00F04127">
        <w:t xml:space="preserve">he student provides a valid </w:t>
      </w:r>
      <w:r w:rsidRPr="00F04127">
        <w:t xml:space="preserve">written </w:t>
      </w:r>
      <w:r w:rsidR="00C20C3A" w:rsidRPr="00F04127">
        <w:t xml:space="preserve">enrolment offer from a </w:t>
      </w:r>
      <w:r w:rsidR="00A24CE1" w:rsidRPr="00F04127">
        <w:t xml:space="preserve">different provider </w:t>
      </w:r>
      <w:r w:rsidR="00C20C3A" w:rsidRPr="00F04127">
        <w:t xml:space="preserve">registered </w:t>
      </w:r>
      <w:r w:rsidR="00A24CE1" w:rsidRPr="00F04127">
        <w:t>on CRICOS</w:t>
      </w:r>
    </w:p>
    <w:p w14:paraId="13AF1B55" w14:textId="5E1DAC8B" w:rsidR="00C20C3A" w:rsidRPr="00F04127" w:rsidRDefault="00A24CE1" w:rsidP="00A24CE1">
      <w:pPr>
        <w:pStyle w:val="Bullet2"/>
      </w:pPr>
      <w:r w:rsidRPr="00F04127">
        <w:t xml:space="preserve">the other CRICOS-registered provider </w:t>
      </w:r>
      <w:r w:rsidR="00C20C3A" w:rsidRPr="00F04127">
        <w:t xml:space="preserve">confirms it accepts responsibility for approving the student’s welfare arrangements and </w:t>
      </w:r>
      <w:r w:rsidR="006462F1" w:rsidRPr="00F04127">
        <w:t>facilitates a transfer of welfare arrangements</w:t>
      </w:r>
      <w:r w:rsidR="00C20C3A" w:rsidRPr="00F04127">
        <w:t xml:space="preserve"> </w:t>
      </w:r>
      <w:r w:rsidR="006462F1" w:rsidRPr="00F04127">
        <w:t xml:space="preserve">to ensure that there will be no gap in the timing of welfare provision </w:t>
      </w:r>
      <w:r w:rsidR="00C20C3A" w:rsidRPr="00F04127">
        <w:t>(if applicable)</w:t>
      </w:r>
    </w:p>
    <w:p w14:paraId="3FB84DAB" w14:textId="7DAAADB8" w:rsidR="00C20C3A" w:rsidRPr="00F04127" w:rsidRDefault="00740121" w:rsidP="00C20C3A">
      <w:pPr>
        <w:pStyle w:val="Bullet2"/>
      </w:pPr>
      <w:r w:rsidRPr="00F04127">
        <w:t>t</w:t>
      </w:r>
      <w:r w:rsidR="00C20C3A" w:rsidRPr="00F04127">
        <w:t>here are no outstanding fees owed to DET or an ISP school in relation to the student’s enrolment</w:t>
      </w:r>
    </w:p>
    <w:p w14:paraId="1C885F08" w14:textId="4DC5776B" w:rsidR="00C20C3A" w:rsidRPr="00F04127" w:rsidRDefault="00740121" w:rsidP="00C20C3A">
      <w:pPr>
        <w:pStyle w:val="Bullet2"/>
      </w:pPr>
      <w:r w:rsidRPr="00F04127">
        <w:t>t</w:t>
      </w:r>
      <w:r w:rsidR="00C20C3A" w:rsidRPr="00F04127">
        <w:t>he transfer is in the student’s best interests</w:t>
      </w:r>
      <w:r w:rsidR="00F04127">
        <w:t>.</w:t>
      </w:r>
    </w:p>
    <w:p w14:paraId="36B27B71" w14:textId="26EFC6A7" w:rsidR="00C20C3A" w:rsidRPr="00F04127" w:rsidRDefault="00C20C3A" w:rsidP="00C20C3A">
      <w:pPr>
        <w:pStyle w:val="ListBullet"/>
      </w:pPr>
      <w:r w:rsidRPr="00F04127">
        <w:t xml:space="preserve">For applications made less than six months (two terms) after commencement, the above conditions are met, and </w:t>
      </w:r>
      <w:r w:rsidR="00740121" w:rsidRPr="00F04127">
        <w:t>any one of the following conditions applies</w:t>
      </w:r>
      <w:r w:rsidRPr="00F04127">
        <w:t>:</w:t>
      </w:r>
    </w:p>
    <w:p w14:paraId="7836671A" w14:textId="30B147E9" w:rsidR="00C20C3A" w:rsidRPr="00F04127" w:rsidRDefault="00740121" w:rsidP="00C20C3A">
      <w:pPr>
        <w:pStyle w:val="Bullet2"/>
      </w:pPr>
      <w:r w:rsidRPr="00F04127">
        <w:t>t</w:t>
      </w:r>
      <w:r w:rsidR="00C20C3A" w:rsidRPr="00F04127">
        <w:t>here is evidence of compassionate or compelling circumstances</w:t>
      </w:r>
    </w:p>
    <w:p w14:paraId="3F38BA53" w14:textId="4863F32D" w:rsidR="00740121" w:rsidRPr="00F04127" w:rsidRDefault="00740121" w:rsidP="00740121">
      <w:pPr>
        <w:pStyle w:val="Bullet2"/>
      </w:pPr>
      <w:r w:rsidRPr="00F04127">
        <w:t>DET fails to deliver</w:t>
      </w:r>
      <w:r w:rsidR="00A93F19" w:rsidRPr="00F04127">
        <w:t xml:space="preserve"> the course as outlined in the W</w:t>
      </w:r>
      <w:r w:rsidRPr="00F04127">
        <w:t xml:space="preserve">ritten </w:t>
      </w:r>
      <w:r w:rsidR="00A93F19" w:rsidRPr="00F04127">
        <w:t>A</w:t>
      </w:r>
      <w:r w:rsidRPr="00F04127">
        <w:t>greement</w:t>
      </w:r>
    </w:p>
    <w:p w14:paraId="7E50EA00" w14:textId="6F142722" w:rsidR="00740121" w:rsidRPr="00F04127" w:rsidRDefault="00740121" w:rsidP="00740121">
      <w:pPr>
        <w:pStyle w:val="Bullet2"/>
      </w:pPr>
      <w:r w:rsidRPr="00F04127">
        <w:t>there is evidence that the student’s reasonable expectations about their current course are not being met</w:t>
      </w:r>
    </w:p>
    <w:p w14:paraId="012DF8C4" w14:textId="69EA5901" w:rsidR="00740121" w:rsidRPr="00F04127" w:rsidRDefault="00740121" w:rsidP="00740121">
      <w:pPr>
        <w:pStyle w:val="Bullet2"/>
      </w:pPr>
      <w:r w:rsidRPr="00F04127">
        <w:t xml:space="preserve">there is evidence that the student was misled by DET or an education agent regarding </w:t>
      </w:r>
      <w:r w:rsidR="00F04127" w:rsidRPr="00F04127">
        <w:t>DET,</w:t>
      </w:r>
      <w:r w:rsidRPr="00F04127">
        <w:t xml:space="preserve"> or its course and the course is therefore unsuitable to their needs and/or study obje</w:t>
      </w:r>
      <w:r w:rsidR="00F97017" w:rsidRPr="00F04127">
        <w:t>ctives</w:t>
      </w:r>
    </w:p>
    <w:p w14:paraId="5BAD26EE" w14:textId="409FB6FE" w:rsidR="00740121" w:rsidRPr="00F04127" w:rsidRDefault="00740121" w:rsidP="00740121">
      <w:pPr>
        <w:pStyle w:val="Bullet2"/>
      </w:pPr>
      <w:r w:rsidRPr="00F04127">
        <w:t>an appeal (internal or external) or another matter results in a decision or recommendation to release the student</w:t>
      </w:r>
    </w:p>
    <w:p w14:paraId="713EE4CD" w14:textId="5E656ED4" w:rsidR="00740121" w:rsidRPr="00F04127" w:rsidRDefault="00F04127" w:rsidP="00A93F19">
      <w:pPr>
        <w:pStyle w:val="Bullet2"/>
      </w:pPr>
      <w:r>
        <w:t>c</w:t>
      </w:r>
      <w:r w:rsidRPr="00F04127">
        <w:t xml:space="preserve">onsistent </w:t>
      </w:r>
      <w:r w:rsidR="00A93F19" w:rsidRPr="00F04127">
        <w:t xml:space="preserve">with the </w:t>
      </w:r>
      <w:hyperlink r:id="rId20" w:history="1">
        <w:r w:rsidR="00994ACC" w:rsidRPr="00F04127">
          <w:rPr>
            <w:rStyle w:val="Hyperlink"/>
          </w:rPr>
          <w:t>ISP Course Progress Policy</w:t>
        </w:r>
      </w:hyperlink>
      <w:r w:rsidR="00A93F19" w:rsidRPr="00F04127">
        <w:t xml:space="preserve">, the student is unable to satisfactorily complete the course within the approved duration, even after engaging with </w:t>
      </w:r>
      <w:r w:rsidR="00B545AC" w:rsidRPr="00F04127">
        <w:t xml:space="preserve">the ISP schools’ </w:t>
      </w:r>
      <w:r w:rsidR="00A93F19" w:rsidRPr="00F04127">
        <w:t>intervention strategy</w:t>
      </w:r>
      <w:r w:rsidR="00F42933" w:rsidRPr="00F04127">
        <w:t xml:space="preserve">, noting that this will result in </w:t>
      </w:r>
      <w:r w:rsidR="00A24CE1" w:rsidRPr="00F04127">
        <w:t>DET (IED) reporting the student</w:t>
      </w:r>
      <w:r w:rsidR="00F42933" w:rsidRPr="00F04127">
        <w:t xml:space="preserve"> to </w:t>
      </w:r>
      <w:r w:rsidR="00E457F2" w:rsidRPr="00F04127">
        <w:t>the Department of Home Affairs (DHA)</w:t>
      </w:r>
      <w:r w:rsidR="00B545AC" w:rsidRPr="00F04127">
        <w:t>.</w:t>
      </w:r>
    </w:p>
    <w:p w14:paraId="16C90B3E" w14:textId="01BDB49A" w:rsidR="006462F1" w:rsidRPr="00F04127" w:rsidRDefault="006462F1" w:rsidP="006462F1">
      <w:pPr>
        <w:pStyle w:val="BodyText"/>
      </w:pPr>
      <w:r w:rsidRPr="00F04127">
        <w:t>If the conditions above are not met, DET (IED) will refuse the request to transfer to another registered CRICOS provider.</w:t>
      </w:r>
    </w:p>
    <w:p w14:paraId="51EAB639" w14:textId="3379A672" w:rsidR="00FA1D88" w:rsidRPr="00F04127" w:rsidRDefault="00FA1D88" w:rsidP="00FA1D88">
      <w:pPr>
        <w:pStyle w:val="BodyText"/>
      </w:pPr>
      <w:r w:rsidRPr="00F04127">
        <w:t>DET (IED) advises the student and parent of the decision, in writing. A transfer to a different CRICOS provider can only occur after DET (IED) has issued a Confirmation of Withdrawal Letter.</w:t>
      </w:r>
    </w:p>
    <w:p w14:paraId="39C10C23" w14:textId="74599155" w:rsidR="006462F1" w:rsidRPr="00F04127" w:rsidRDefault="006462F1" w:rsidP="00FA1D88">
      <w:pPr>
        <w:pStyle w:val="BodyText"/>
      </w:pPr>
      <w:r w:rsidRPr="00F04127">
        <w:t>If DET (IED) refuses a request to transfer to another registered CRICOS provider</w:t>
      </w:r>
      <w:r w:rsidR="00A873A2" w:rsidRPr="00F04127">
        <w:t xml:space="preserve">, it provides the </w:t>
      </w:r>
      <w:r w:rsidR="000D5372" w:rsidRPr="00F04127">
        <w:t xml:space="preserve">reasons for the </w:t>
      </w:r>
      <w:r w:rsidR="00A873A2" w:rsidRPr="00F04127">
        <w:t xml:space="preserve">refusal </w:t>
      </w:r>
      <w:r w:rsidR="000D5372" w:rsidRPr="00F04127">
        <w:t xml:space="preserve">and </w:t>
      </w:r>
      <w:r w:rsidR="00A873A2" w:rsidRPr="00F04127">
        <w:t xml:space="preserve">advises the student of their right to appeal as outlined in the </w:t>
      </w:r>
      <w:hyperlink r:id="rId21" w:history="1">
        <w:r w:rsidR="00994ACC" w:rsidRPr="00F04127">
          <w:rPr>
            <w:rStyle w:val="Hyperlink"/>
          </w:rPr>
          <w:t>ISP Complaints and Appeals Policy</w:t>
        </w:r>
      </w:hyperlink>
      <w:r w:rsidR="00A873A2" w:rsidRPr="00F04127">
        <w:t>, within 20 working days.</w:t>
      </w:r>
      <w:r w:rsidR="000D5372" w:rsidRPr="00F04127">
        <w:t xml:space="preserve"> DET (IED) does not finalise the refusal status in </w:t>
      </w:r>
      <w:r w:rsidR="00E457F2" w:rsidRPr="00F04127">
        <w:t>Provider Registration and International Student Management System (PRISMS)</w:t>
      </w:r>
      <w:r w:rsidR="000D5372" w:rsidRPr="00F04127">
        <w:t xml:space="preserve"> until the appeal finds in favour of </w:t>
      </w:r>
      <w:r w:rsidR="00E457F2" w:rsidRPr="00F04127">
        <w:t>DET (IED)</w:t>
      </w:r>
      <w:r w:rsidR="000D5372" w:rsidRPr="00F04127">
        <w:t xml:space="preserve">, or the student has chosen not to access the complaints and appeals processes within the </w:t>
      </w:r>
      <w:r w:rsidR="00F04127" w:rsidRPr="00F04127">
        <w:t>20-working</w:t>
      </w:r>
      <w:r w:rsidR="000D5372" w:rsidRPr="00F04127">
        <w:t xml:space="preserve"> day period, or the student withdraws from the process.</w:t>
      </w:r>
    </w:p>
    <w:p w14:paraId="6AED4B18" w14:textId="77777777" w:rsidR="00953C2C" w:rsidRPr="00F04127" w:rsidRDefault="00953C2C" w:rsidP="00953C2C">
      <w:pPr>
        <w:pStyle w:val="BodyText"/>
      </w:pPr>
      <w:r w:rsidRPr="00F04127">
        <w:t>School staff notify DET (IED) as soon as possible (and within two working days) after becoming aware that a student has left the school to become enrolled with another CRICOS provider.</w:t>
      </w:r>
    </w:p>
    <w:p w14:paraId="0EE58C9F" w14:textId="77777777" w:rsidR="00953C2C" w:rsidRPr="00F04127" w:rsidRDefault="00953C2C" w:rsidP="00953C2C">
      <w:pPr>
        <w:pStyle w:val="BodyText"/>
      </w:pPr>
      <w:r w:rsidRPr="00F04127">
        <w:t>DET (IED) notifies DHA about the cancellation of the student’s enrolment by entering the information in PRISMS within the sooner of 14 days of becoming aware that the student has left the school to become enrolled with another CRICOS provider, or 14 days after approving a request to transfer to another registered CRICOS provider.</w:t>
      </w:r>
    </w:p>
    <w:p w14:paraId="7ADECCA9" w14:textId="2F9BBA95" w:rsidR="0081023F" w:rsidRPr="00F04127" w:rsidRDefault="0081023F" w:rsidP="009739F0">
      <w:pPr>
        <w:pStyle w:val="BodyText"/>
      </w:pPr>
      <w:r w:rsidRPr="00F04127">
        <w:t xml:space="preserve">In accordance with the </w:t>
      </w:r>
      <w:hyperlink r:id="rId22" w:history="1">
        <w:r w:rsidR="00994ACC" w:rsidRPr="00F04127">
          <w:rPr>
            <w:rStyle w:val="Hyperlink"/>
          </w:rPr>
          <w:t>ISP Homestay Policy</w:t>
        </w:r>
      </w:hyperlink>
      <w:r w:rsidRPr="00F04127">
        <w:t>, when DET (IED) suspends or cancels the enrolment of an international student on a CAAW, DET (IED) continues to approve the welfare arrangements for that student until the international student has approved welfare arrangements in place by another CRICOS-registered provider, DHA approves care of the student by a parent or nominated relative, the student leaves Australia, or DET (IED) notifies DHA that it is no longer able to approve the student’s welfare arrangements or is unable to contact the student after taking all reasonable efforts to contact them.</w:t>
      </w:r>
    </w:p>
    <w:p w14:paraId="3DD730ED" w14:textId="785BF54F" w:rsidR="009739F0" w:rsidRPr="00F04127" w:rsidRDefault="009739F0" w:rsidP="009739F0">
      <w:pPr>
        <w:pStyle w:val="BodyText"/>
      </w:pPr>
      <w:r w:rsidRPr="00F04127">
        <w:t xml:space="preserve">In the unlikely event that DET or the course in which the international student is enrolled ceases to be appropriately registered, DET will </w:t>
      </w:r>
      <w:r w:rsidR="00503B96" w:rsidRPr="00F04127">
        <w:t>arrange for students to be offered a place in an alternative course at DET’s expense. In these circumstances, the student may accept, in writing, this offer of a place noting that the requirements above for transfers to a different CRICOS provider do not apply.</w:t>
      </w:r>
    </w:p>
    <w:p w14:paraId="04AA85BD" w14:textId="0451B748" w:rsidR="009D1020" w:rsidRPr="00F04127" w:rsidRDefault="009D1020" w:rsidP="009739F0">
      <w:pPr>
        <w:pStyle w:val="BodyText"/>
      </w:pPr>
      <w:r w:rsidRPr="00F04127">
        <w:t>DET (IED) maintains records of all</w:t>
      </w:r>
      <w:r w:rsidR="00B545AC" w:rsidRPr="00F04127">
        <w:t xml:space="preserve"> transfer requests</w:t>
      </w:r>
      <w:r w:rsidRPr="00F04127">
        <w:t xml:space="preserve"> and DET (IED)’s assessment</w:t>
      </w:r>
      <w:r w:rsidR="00B545AC" w:rsidRPr="00F04127">
        <w:t>s</w:t>
      </w:r>
      <w:r w:rsidRPr="00F04127">
        <w:t xml:space="preserve"> and decision</w:t>
      </w:r>
      <w:r w:rsidR="00B545AC" w:rsidRPr="00F04127">
        <w:t>s</w:t>
      </w:r>
      <w:r w:rsidRPr="00F04127">
        <w:t xml:space="preserve"> in accordance with the </w:t>
      </w:r>
      <w:hyperlink r:id="rId23" w:history="1">
        <w:r w:rsidR="00994ACC" w:rsidRPr="00F04127">
          <w:rPr>
            <w:rStyle w:val="Hyperlink"/>
          </w:rPr>
          <w:t>ISP Record Keeping Procedural Guidelines</w:t>
        </w:r>
      </w:hyperlink>
      <w:r w:rsidRPr="00F04127">
        <w:t>.</w:t>
      </w:r>
    </w:p>
    <w:p w14:paraId="041F0AE5" w14:textId="7341670C" w:rsidR="009A20EC" w:rsidRPr="00F04127" w:rsidRDefault="00352A6B" w:rsidP="00F04127">
      <w:pPr>
        <w:pStyle w:val="Heading2"/>
      </w:pPr>
      <w:r w:rsidRPr="00F04127">
        <w:lastRenderedPageBreak/>
        <w:t>Legislation</w:t>
      </w:r>
      <w:r w:rsidR="0005754E" w:rsidRPr="00F04127">
        <w:t xml:space="preserve"> </w:t>
      </w:r>
    </w:p>
    <w:p w14:paraId="35F1AE76" w14:textId="64226B16" w:rsidR="002F05A8" w:rsidRPr="00F04127" w:rsidRDefault="002F05A8" w:rsidP="00F04127">
      <w:pPr>
        <w:pStyle w:val="ListBullet"/>
        <w:keepNext/>
      </w:pPr>
      <w:r w:rsidRPr="00F04127">
        <w:rPr>
          <w:i/>
        </w:rPr>
        <w:t xml:space="preserve">Education Services </w:t>
      </w:r>
      <w:r w:rsidR="00AB44E6" w:rsidRPr="00F04127">
        <w:rPr>
          <w:i/>
        </w:rPr>
        <w:t xml:space="preserve">for </w:t>
      </w:r>
      <w:r w:rsidRPr="00F04127">
        <w:rPr>
          <w:i/>
        </w:rPr>
        <w:t>Overseas Students Act 2000</w:t>
      </w:r>
      <w:r w:rsidRPr="00F04127">
        <w:t xml:space="preserve"> (Cth)</w:t>
      </w:r>
    </w:p>
    <w:p w14:paraId="13BEB259" w14:textId="17731FF5" w:rsidR="002F05A8" w:rsidRPr="00F04127" w:rsidRDefault="002F05A8" w:rsidP="00810C35">
      <w:pPr>
        <w:pStyle w:val="ListBullet"/>
      </w:pPr>
      <w:r w:rsidRPr="00F04127">
        <w:rPr>
          <w:i/>
        </w:rPr>
        <w:t xml:space="preserve">National Code of Practice for Providers of Education and Training to Overseas Students 2018 </w:t>
      </w:r>
      <w:r w:rsidRPr="00F04127">
        <w:t>(Cth)</w:t>
      </w:r>
    </w:p>
    <w:p w14:paraId="15CCACC4" w14:textId="77777777" w:rsidR="002F05A8" w:rsidRPr="00F04127" w:rsidRDefault="002F05A8" w:rsidP="00810C35">
      <w:pPr>
        <w:pStyle w:val="ListBullet"/>
      </w:pPr>
      <w:r w:rsidRPr="00F04127">
        <w:rPr>
          <w:i/>
        </w:rPr>
        <w:t>Migration Act 1958</w:t>
      </w:r>
      <w:r w:rsidRPr="00F04127">
        <w:t xml:space="preserve"> (Cth)</w:t>
      </w:r>
    </w:p>
    <w:p w14:paraId="48E3ABAE" w14:textId="464EDF1C" w:rsidR="002F05A8" w:rsidRPr="00F04127" w:rsidRDefault="002F05A8" w:rsidP="00810C35">
      <w:pPr>
        <w:pStyle w:val="ListBullet"/>
      </w:pPr>
      <w:r w:rsidRPr="00F04127">
        <w:rPr>
          <w:i/>
        </w:rPr>
        <w:t>Education and Training Reform Act 2006</w:t>
      </w:r>
      <w:r w:rsidRPr="00F04127">
        <w:t xml:space="preserve"> (Vic)</w:t>
      </w:r>
    </w:p>
    <w:p w14:paraId="42A44205" w14:textId="51453E5E" w:rsidR="00AB44E6" w:rsidRPr="00F04127" w:rsidRDefault="00810C35" w:rsidP="008C5B99">
      <w:pPr>
        <w:pStyle w:val="ListBullet"/>
      </w:pPr>
      <w:r w:rsidRPr="00F04127">
        <w:rPr>
          <w:i/>
        </w:rPr>
        <w:t>Ministerial Order 819 – Fees for Overseas Students in Government Schools</w:t>
      </w:r>
      <w:r w:rsidRPr="00F04127">
        <w:t xml:space="preserve"> (Vic)</w:t>
      </w:r>
    </w:p>
    <w:p w14:paraId="231C4F03" w14:textId="7C349F7E" w:rsidR="009A20EC" w:rsidRPr="00F04127" w:rsidRDefault="009A20EC" w:rsidP="009A20EC">
      <w:pPr>
        <w:pStyle w:val="Heading2"/>
      </w:pPr>
      <w:r w:rsidRPr="00F04127">
        <w:t xml:space="preserve">Associated </w:t>
      </w:r>
      <w:r w:rsidR="00221299" w:rsidRPr="00F04127">
        <w:t>d</w:t>
      </w:r>
      <w:r w:rsidRPr="00F04127">
        <w:t>ocuments</w:t>
      </w:r>
    </w:p>
    <w:p w14:paraId="3BC22F2D" w14:textId="11ABAE30" w:rsidR="00B545AC" w:rsidRPr="00F04127" w:rsidRDefault="002C180F" w:rsidP="00B545AC">
      <w:pPr>
        <w:pStyle w:val="ListBullet"/>
      </w:pPr>
      <w:hyperlink r:id="rId24" w:history="1">
        <w:r w:rsidR="00B545AC" w:rsidRPr="00F04127">
          <w:rPr>
            <w:rStyle w:val="Hyperlink"/>
          </w:rPr>
          <w:t>ISP Transfer Procedure</w:t>
        </w:r>
      </w:hyperlink>
    </w:p>
    <w:p w14:paraId="5A5947EA" w14:textId="05961464" w:rsidR="00533904" w:rsidRPr="00F04127" w:rsidRDefault="002C180F" w:rsidP="00533904">
      <w:pPr>
        <w:pStyle w:val="ListBullet"/>
      </w:pPr>
      <w:hyperlink r:id="rId25" w:history="1">
        <w:r w:rsidR="006462F1" w:rsidRPr="00F04127">
          <w:rPr>
            <w:rStyle w:val="Hyperlink"/>
          </w:rPr>
          <w:t xml:space="preserve">Application for </w:t>
        </w:r>
        <w:r w:rsidR="00533904" w:rsidRPr="00F04127">
          <w:rPr>
            <w:rStyle w:val="Hyperlink"/>
          </w:rPr>
          <w:t>Internal Transfer to Another Accredi</w:t>
        </w:r>
        <w:r w:rsidR="006462F1" w:rsidRPr="00F04127">
          <w:rPr>
            <w:rStyle w:val="Hyperlink"/>
          </w:rPr>
          <w:t>ted Victorian Government School</w:t>
        </w:r>
      </w:hyperlink>
    </w:p>
    <w:p w14:paraId="352BA396" w14:textId="59FA913E" w:rsidR="0083031C" w:rsidRPr="00F04127" w:rsidRDefault="002C180F" w:rsidP="00533904">
      <w:pPr>
        <w:pStyle w:val="ListBullet"/>
      </w:pPr>
      <w:hyperlink r:id="rId26" w:history="1">
        <w:r w:rsidR="00E457F2" w:rsidRPr="00F04127">
          <w:rPr>
            <w:rStyle w:val="Hyperlink"/>
          </w:rPr>
          <w:t>Withdrawal Form</w:t>
        </w:r>
      </w:hyperlink>
    </w:p>
    <w:p w14:paraId="048E6DE5" w14:textId="2D63270E" w:rsidR="00B545AC" w:rsidRPr="00F04127" w:rsidRDefault="002C180F" w:rsidP="00B545AC">
      <w:pPr>
        <w:pStyle w:val="ListBullet"/>
      </w:pPr>
      <w:hyperlink r:id="rId27" w:history="1">
        <w:r w:rsidR="00B545AC" w:rsidRPr="00F04127">
          <w:rPr>
            <w:rStyle w:val="Hyperlink"/>
          </w:rPr>
          <w:t>ISP Admissions and Enrolment Policy</w:t>
        </w:r>
      </w:hyperlink>
    </w:p>
    <w:p w14:paraId="57BDD831" w14:textId="317AB7DB" w:rsidR="00B545AC" w:rsidRPr="00F04127" w:rsidRDefault="002C180F" w:rsidP="00B545AC">
      <w:pPr>
        <w:pStyle w:val="ListBullet"/>
      </w:pPr>
      <w:hyperlink r:id="rId28" w:history="1">
        <w:r w:rsidR="00B545AC" w:rsidRPr="00F04127">
          <w:rPr>
            <w:rStyle w:val="Hyperlink"/>
          </w:rPr>
          <w:t>ISP Complaints and Appeals Policy</w:t>
        </w:r>
      </w:hyperlink>
    </w:p>
    <w:p w14:paraId="116244EE" w14:textId="68459E33" w:rsidR="00B545AC" w:rsidRPr="00F04127" w:rsidRDefault="002C180F" w:rsidP="00B545AC">
      <w:pPr>
        <w:pStyle w:val="ListBullet"/>
      </w:pPr>
      <w:hyperlink r:id="rId29" w:history="1">
        <w:r w:rsidR="00B545AC" w:rsidRPr="00F04127">
          <w:rPr>
            <w:rStyle w:val="Hyperlink"/>
          </w:rPr>
          <w:t>ISP Course Progress Policy</w:t>
        </w:r>
      </w:hyperlink>
    </w:p>
    <w:p w14:paraId="0925BE35" w14:textId="591C4E87" w:rsidR="00B545AC" w:rsidRPr="00F04127" w:rsidRDefault="002C180F" w:rsidP="00B545AC">
      <w:pPr>
        <w:pStyle w:val="ListBullet"/>
      </w:pPr>
      <w:hyperlink r:id="rId30" w:history="1">
        <w:r w:rsidR="00B545AC" w:rsidRPr="00F04127">
          <w:rPr>
            <w:rStyle w:val="Hyperlink"/>
          </w:rPr>
          <w:t>ISP Homestay Policy</w:t>
        </w:r>
      </w:hyperlink>
    </w:p>
    <w:p w14:paraId="3EC1ED3A" w14:textId="261E0BD4" w:rsidR="00B545AC" w:rsidRPr="00F04127" w:rsidRDefault="002C180F" w:rsidP="00B545AC">
      <w:pPr>
        <w:pStyle w:val="ListBullet"/>
      </w:pPr>
      <w:hyperlink r:id="rId31" w:history="1">
        <w:r w:rsidR="00B545AC" w:rsidRPr="00F04127">
          <w:rPr>
            <w:rStyle w:val="Hyperlink"/>
          </w:rPr>
          <w:t>ISP Refund Policy</w:t>
        </w:r>
      </w:hyperlink>
    </w:p>
    <w:p w14:paraId="69B87E3C" w14:textId="0BFD97C7" w:rsidR="00994ACC" w:rsidRPr="00F04127" w:rsidRDefault="002C180F" w:rsidP="00B545AC">
      <w:pPr>
        <w:pStyle w:val="ListBullet"/>
      </w:pPr>
      <w:hyperlink r:id="rId32" w:history="1">
        <w:r w:rsidR="00994ACC" w:rsidRPr="00F04127">
          <w:rPr>
            <w:rStyle w:val="Hyperlink"/>
          </w:rPr>
          <w:t>ISP Record Keeping Procedural Guidelines</w:t>
        </w:r>
      </w:hyperlink>
    </w:p>
    <w:p w14:paraId="1132ACA4" w14:textId="3ADF29E3" w:rsidR="00B545AC" w:rsidRPr="00A6099F" w:rsidRDefault="002C180F" w:rsidP="00B545AC">
      <w:pPr>
        <w:pStyle w:val="ListBullet"/>
        <w:rPr>
          <w:rStyle w:val="Hyperlink"/>
          <w:color w:val="404040" w:themeColor="text1" w:themeTint="BF"/>
          <w:u w:val="none"/>
        </w:rPr>
      </w:pPr>
      <w:hyperlink r:id="rId33" w:history="1">
        <w:r w:rsidR="00B545AC" w:rsidRPr="00F04127">
          <w:rPr>
            <w:rStyle w:val="Hyperlink"/>
          </w:rPr>
          <w:t>ISP Terms, Conditions and Policies</w:t>
        </w:r>
      </w:hyperlink>
    </w:p>
    <w:p w14:paraId="1E56BE10" w14:textId="6415A46D" w:rsidR="001D490B" w:rsidRPr="00F04127" w:rsidRDefault="002C180F" w:rsidP="00B545AC">
      <w:pPr>
        <w:pStyle w:val="ListBullet"/>
        <w:rPr>
          <w:rStyle w:val="Hyperlink"/>
          <w:color w:val="404040" w:themeColor="text1" w:themeTint="BF"/>
          <w:u w:val="none"/>
        </w:rPr>
      </w:pPr>
      <w:hyperlink r:id="rId34" w:history="1">
        <w:r w:rsidR="001D490B" w:rsidRPr="001D490B">
          <w:rPr>
            <w:rStyle w:val="Hyperlink"/>
          </w:rPr>
          <w:t>ISP Toolkit- Section 8</w:t>
        </w:r>
      </w:hyperlink>
    </w:p>
    <w:p w14:paraId="35634708" w14:textId="3781FFB5" w:rsidR="009A20EC" w:rsidRPr="00F04127" w:rsidRDefault="002C180F" w:rsidP="00EA42C4">
      <w:pPr>
        <w:pStyle w:val="Heading2"/>
      </w:pPr>
      <w:hyperlink r:id="rId35" w:history="1">
        <w:r w:rsidR="001D490B" w:rsidRPr="001D490B">
          <w:rPr>
            <w:rStyle w:val="Hyperlink"/>
          </w:rPr>
          <w:t>Enrolment Policy (PAL)- student transfers between schools</w:t>
        </w:r>
      </w:hyperlink>
      <w:r w:rsidR="001D490B">
        <w:t xml:space="preserve"> </w:t>
      </w:r>
      <w:r w:rsidR="009A20EC" w:rsidRPr="00F04127">
        <w:t>Definitions</w:t>
      </w:r>
    </w:p>
    <w:p w14:paraId="342B2162" w14:textId="1CF56565" w:rsidR="00F67CD3" w:rsidRPr="00F04127" w:rsidRDefault="00F67CD3" w:rsidP="00F67CD3">
      <w:pPr>
        <w:pStyle w:val="ListBullet"/>
        <w:tabs>
          <w:tab w:val="num" w:pos="340"/>
        </w:tabs>
      </w:pPr>
      <w:r w:rsidRPr="00F04127">
        <w:rPr>
          <w:b/>
        </w:rPr>
        <w:t xml:space="preserve">Compassionate circumstances </w:t>
      </w:r>
      <w:r w:rsidRPr="00F04127">
        <w:t xml:space="preserve">refers to circumstances that are not in the student’s control or created by the student and adversely impact on student welfare or course progress (for example, illness, bereavement or traumatic events may qualify), as assessed on a </w:t>
      </w:r>
      <w:r w:rsidR="00F04127" w:rsidRPr="00F04127">
        <w:t>case-by-case</w:t>
      </w:r>
      <w:r w:rsidRPr="00F04127">
        <w:t xml:space="preserve"> basis.</w:t>
      </w:r>
    </w:p>
    <w:p w14:paraId="75AC7907" w14:textId="0D3F8B11" w:rsidR="00F67CD3" w:rsidRPr="00F04127" w:rsidRDefault="00F67CD3" w:rsidP="00F67CD3">
      <w:pPr>
        <w:pStyle w:val="ListBullet"/>
        <w:tabs>
          <w:tab w:val="num" w:pos="340"/>
        </w:tabs>
      </w:pPr>
      <w:r w:rsidRPr="00F04127">
        <w:rPr>
          <w:b/>
        </w:rPr>
        <w:t>Compelling circumstances</w:t>
      </w:r>
      <w:r w:rsidRPr="00F04127">
        <w:t xml:space="preserve"> are circumstances which in the opinion of DET (IED) are in the student’s best interests, as assessed on a </w:t>
      </w:r>
      <w:r w:rsidR="00F04127" w:rsidRPr="00F04127">
        <w:t>case-by-case</w:t>
      </w:r>
      <w:r w:rsidRPr="00F04127">
        <w:t xml:space="preserve"> basis. </w:t>
      </w:r>
    </w:p>
    <w:p w14:paraId="74ABE5DE" w14:textId="77777777" w:rsidR="00F67CD3" w:rsidRPr="00F04127" w:rsidRDefault="00F67CD3" w:rsidP="00F67CD3">
      <w:pPr>
        <w:pStyle w:val="ListBullet"/>
        <w:tabs>
          <w:tab w:val="num" w:pos="340"/>
        </w:tabs>
      </w:pPr>
      <w:r w:rsidRPr="00F04127">
        <w:rPr>
          <w:b/>
        </w:rPr>
        <w:t>Course</w:t>
      </w:r>
      <w:r w:rsidRPr="00F04127">
        <w:t xml:space="preserve"> refers to a course registered on CRICOS offered by the Department of Education and Training (under DET (IED)).</w:t>
      </w:r>
    </w:p>
    <w:p w14:paraId="59FABFF1" w14:textId="05651549" w:rsidR="00F67CD3" w:rsidRPr="00F04127" w:rsidRDefault="00F67CD3" w:rsidP="00F67CD3">
      <w:pPr>
        <w:pStyle w:val="ListBullet"/>
        <w:tabs>
          <w:tab w:val="num" w:pos="340"/>
        </w:tabs>
      </w:pPr>
      <w:r w:rsidRPr="00F04127">
        <w:rPr>
          <w:b/>
        </w:rPr>
        <w:t>Current Host School</w:t>
      </w:r>
      <w:r w:rsidRPr="00F04127">
        <w:t xml:space="preserve"> refers to the school which a student is applying to be transferred from</w:t>
      </w:r>
    </w:p>
    <w:p w14:paraId="019E7E3F" w14:textId="77777777" w:rsidR="00F67CD3" w:rsidRPr="00F04127" w:rsidRDefault="00F67CD3" w:rsidP="00F67CD3">
      <w:pPr>
        <w:pStyle w:val="ListBullet"/>
        <w:tabs>
          <w:tab w:val="num" w:pos="340"/>
        </w:tabs>
      </w:pPr>
      <w:r w:rsidRPr="00F04127">
        <w:rPr>
          <w:b/>
        </w:rPr>
        <w:t>DET (IED)</w:t>
      </w:r>
      <w:r w:rsidRPr="00F04127">
        <w:t xml:space="preserve"> – Department of Education and Training – International Education Division. IED is the division in DET that administers the International Student Program in Victorian government schools. IED is not a separate entity to DET. DET is the CRICOS registered provider.</w:t>
      </w:r>
    </w:p>
    <w:p w14:paraId="385DEF75" w14:textId="77777777" w:rsidR="00F67CD3" w:rsidRPr="00F04127" w:rsidRDefault="00F67CD3" w:rsidP="00F67CD3">
      <w:pPr>
        <w:pStyle w:val="ListBullet"/>
        <w:tabs>
          <w:tab w:val="num" w:pos="340"/>
        </w:tabs>
      </w:pPr>
      <w:r w:rsidRPr="00F04127">
        <w:rPr>
          <w:b/>
        </w:rPr>
        <w:t>DET (IED) staff</w:t>
      </w:r>
      <w:r w:rsidRPr="00F04127">
        <w:t xml:space="preserve"> includes the Executive Officers, managers and employees (full time, part time, ongoing, fixed term, casual and contractor) of DET who work directly or indirectly with the ISP. This excludes school staff.</w:t>
      </w:r>
    </w:p>
    <w:p w14:paraId="06B83AAB" w14:textId="77777777" w:rsidR="00F67CD3" w:rsidRPr="00F04127" w:rsidRDefault="00F67CD3" w:rsidP="00F67CD3">
      <w:pPr>
        <w:pStyle w:val="ListBullet"/>
        <w:tabs>
          <w:tab w:val="num" w:pos="340"/>
        </w:tabs>
      </w:pPr>
      <w:r w:rsidRPr="00F04127">
        <w:rPr>
          <w:b/>
        </w:rPr>
        <w:t xml:space="preserve">Education Agents </w:t>
      </w:r>
      <w:r w:rsidRPr="00F04127">
        <w:t>are accredited by DET (IED) to recruit students for an ISP course.</w:t>
      </w:r>
    </w:p>
    <w:p w14:paraId="64AF64EC" w14:textId="77777777" w:rsidR="00F67CD3" w:rsidRPr="00F04127" w:rsidRDefault="00F67CD3" w:rsidP="00F67CD3">
      <w:pPr>
        <w:pStyle w:val="ListBullet"/>
        <w:tabs>
          <w:tab w:val="num" w:pos="340"/>
        </w:tabs>
      </w:pPr>
      <w:r w:rsidRPr="00F04127">
        <w:rPr>
          <w:b/>
        </w:rPr>
        <w:t>Homestays</w:t>
      </w:r>
      <w:r w:rsidRPr="00F04127">
        <w:t xml:space="preserve"> are international student accommodation arranged by schools where DET (IED) is responsible for the welfare of the student at all times, including outside school hours.</w:t>
      </w:r>
    </w:p>
    <w:p w14:paraId="37BF916B" w14:textId="77777777" w:rsidR="00F67CD3" w:rsidRPr="00F04127" w:rsidRDefault="00F67CD3" w:rsidP="00F67CD3">
      <w:pPr>
        <w:pStyle w:val="ListBullet"/>
        <w:tabs>
          <w:tab w:val="num" w:pos="340"/>
        </w:tabs>
      </w:pPr>
      <w:r w:rsidRPr="00F04127">
        <w:rPr>
          <w:b/>
        </w:rPr>
        <w:t>International Student Program (ISP)</w:t>
      </w:r>
      <w:r w:rsidRPr="00F04127">
        <w:t xml:space="preserve"> for the purpose of this policy is defined as the program administered by the DET International Education Division (IED). </w:t>
      </w:r>
    </w:p>
    <w:p w14:paraId="4B3A8DFD" w14:textId="77777777" w:rsidR="00F67CD3" w:rsidRPr="00F04127" w:rsidRDefault="00F67CD3" w:rsidP="00F67CD3">
      <w:pPr>
        <w:pStyle w:val="ListBullet"/>
        <w:tabs>
          <w:tab w:val="num" w:pos="340"/>
        </w:tabs>
      </w:pPr>
      <w:r w:rsidRPr="00F04127">
        <w:rPr>
          <w:b/>
        </w:rPr>
        <w:t>International students (students)</w:t>
      </w:r>
      <w:r w:rsidRPr="00F04127">
        <w:t xml:space="preserve"> for the purpose of this policy are defined as students participating in the ISP who are applying for, or hold, a subclass 500 Student – Schools visa.</w:t>
      </w:r>
    </w:p>
    <w:p w14:paraId="33F4E293" w14:textId="5F441FD9" w:rsidR="00F67CD3" w:rsidRPr="00F04127" w:rsidRDefault="00F67CD3" w:rsidP="00F67CD3">
      <w:pPr>
        <w:pStyle w:val="ListBullet"/>
        <w:tabs>
          <w:tab w:val="num" w:pos="340"/>
        </w:tabs>
      </w:pPr>
      <w:r w:rsidRPr="00F04127">
        <w:rPr>
          <w:b/>
        </w:rPr>
        <w:t>New Host School</w:t>
      </w:r>
      <w:r w:rsidRPr="00F04127">
        <w:t xml:space="preserve"> refers to the school which a student is applying to be transferred to</w:t>
      </w:r>
      <w:r w:rsidR="00A47FBD" w:rsidRPr="00F04127">
        <w:t>.</w:t>
      </w:r>
    </w:p>
    <w:p w14:paraId="2065EDC4" w14:textId="636DCAE1" w:rsidR="00F67CD3" w:rsidRPr="00F04127" w:rsidRDefault="00F67CD3" w:rsidP="00F67CD3">
      <w:pPr>
        <w:pStyle w:val="ListBullet"/>
        <w:tabs>
          <w:tab w:val="num" w:pos="340"/>
        </w:tabs>
      </w:pPr>
      <w:r w:rsidRPr="00F04127">
        <w:rPr>
          <w:b/>
        </w:rPr>
        <w:t xml:space="preserve">Parent </w:t>
      </w:r>
      <w:r w:rsidRPr="00F04127">
        <w:t>refers to the parent of an international student.</w:t>
      </w:r>
    </w:p>
    <w:p w14:paraId="1A433786" w14:textId="77777777" w:rsidR="00A47FBD" w:rsidRPr="00F04127" w:rsidRDefault="00A47FBD" w:rsidP="00A47FBD">
      <w:pPr>
        <w:pStyle w:val="ListBullet"/>
        <w:tabs>
          <w:tab w:val="num" w:pos="340"/>
        </w:tabs>
      </w:pPr>
      <w:r w:rsidRPr="00F04127">
        <w:rPr>
          <w:b/>
        </w:rPr>
        <w:t>School</w:t>
      </w:r>
      <w:r w:rsidRPr="00F04127">
        <w:t xml:space="preserve"> </w:t>
      </w:r>
      <w:r w:rsidRPr="00F04127">
        <w:rPr>
          <w:b/>
        </w:rPr>
        <w:t>(or ISP-accredited school)</w:t>
      </w:r>
      <w:r w:rsidRPr="00F04127">
        <w:t xml:space="preserve"> for the purpose of this document is defined as a school accredited by DET (IED) to deliver an ISP.</w:t>
      </w:r>
    </w:p>
    <w:p w14:paraId="3DBF057E" w14:textId="77777777" w:rsidR="00F67CD3" w:rsidRPr="00F04127" w:rsidRDefault="00F67CD3" w:rsidP="00F67CD3">
      <w:pPr>
        <w:pStyle w:val="ListBullet"/>
        <w:tabs>
          <w:tab w:val="num" w:pos="340"/>
        </w:tabs>
      </w:pPr>
      <w:r w:rsidRPr="00F04127">
        <w:rPr>
          <w:b/>
        </w:rPr>
        <w:t xml:space="preserve">School staff </w:t>
      </w:r>
      <w:r w:rsidRPr="00F04127">
        <w:t>are employees of schools, for example – International Student Coordinator, Homestay Coordinator, Head of Department, Deputy Principal, and Principal.</w:t>
      </w:r>
    </w:p>
    <w:p w14:paraId="644282CC" w14:textId="22F2AD64" w:rsidR="00F67CD3" w:rsidRPr="00F04127" w:rsidRDefault="00F67CD3" w:rsidP="00F67CD3">
      <w:pPr>
        <w:pStyle w:val="ListBullet"/>
        <w:tabs>
          <w:tab w:val="num" w:pos="340"/>
        </w:tabs>
      </w:pPr>
      <w:r w:rsidRPr="00F04127">
        <w:rPr>
          <w:b/>
        </w:rPr>
        <w:t>Written Agreement</w:t>
      </w:r>
      <w:r w:rsidRPr="00F04127">
        <w:t xml:space="preserve"> is an agreement with the international student or intending international student and their parent(s) or legal guardian(s), which includes Standard Terms and Conditions; signed by the international student as well as parent(s) or legal guardian(s). The Written Agreement cannot be signed or accepted on behalf of the student or their parent(s) or legal guardian(s) by an education agent.</w:t>
      </w:r>
    </w:p>
    <w:p w14:paraId="1C2BC6A6" w14:textId="2128F510" w:rsidR="00C4141B" w:rsidRPr="00F04127" w:rsidRDefault="009A20EC" w:rsidP="009A20EC">
      <w:pPr>
        <w:pStyle w:val="Heading2"/>
      </w:pPr>
      <w:r w:rsidRPr="00F04127">
        <w:t>Policy</w:t>
      </w:r>
      <w:r w:rsidR="00B045C5" w:rsidRPr="00F04127">
        <w:t xml:space="preserve"> c</w:t>
      </w:r>
      <w:r w:rsidRPr="00F04127">
        <w:t>ontac</w:t>
      </w:r>
      <w:r w:rsidR="00B045C5" w:rsidRPr="00F04127">
        <w:t>t</w:t>
      </w:r>
    </w:p>
    <w:p w14:paraId="67F32DDC" w14:textId="0BEB7246" w:rsidR="00C4141B" w:rsidRPr="00F04127" w:rsidRDefault="00C4141B" w:rsidP="008D08EA">
      <w:pPr>
        <w:pStyle w:val="BodyText"/>
      </w:pPr>
      <w:r w:rsidRPr="00F04127">
        <w:t xml:space="preserve">For further information, please contact the DET (IED) </w:t>
      </w:r>
      <w:r w:rsidR="006462F1" w:rsidRPr="00F04127">
        <w:t xml:space="preserve">School Support </w:t>
      </w:r>
      <w:r w:rsidRPr="00F04127">
        <w:t>Team on + 61 3 7022 1000.</w:t>
      </w:r>
    </w:p>
    <w:p w14:paraId="7BEB73D8" w14:textId="6232B107" w:rsidR="009A20EC" w:rsidRPr="00F04127" w:rsidRDefault="00C4141B" w:rsidP="00F04127">
      <w:pPr>
        <w:pStyle w:val="Heading2"/>
      </w:pPr>
      <w:r w:rsidRPr="00F04127">
        <w:lastRenderedPageBreak/>
        <w:t>Policy</w:t>
      </w:r>
      <w:r w:rsidR="006462F1" w:rsidRPr="00F04127">
        <w:t xml:space="preserve"> </w:t>
      </w:r>
      <w:r w:rsidR="00B045C5" w:rsidRPr="00F04127">
        <w:t>m</w:t>
      </w:r>
      <w:r w:rsidR="009A20EC" w:rsidRPr="00F04127">
        <w:t xml:space="preserve">aintenance </w:t>
      </w:r>
      <w:r w:rsidR="00B045C5" w:rsidRPr="00F04127">
        <w:t>o</w:t>
      </w:r>
      <w:r w:rsidR="009A20EC" w:rsidRPr="00F04127">
        <w:t>fficer</w:t>
      </w:r>
    </w:p>
    <w:p w14:paraId="39E21801" w14:textId="51F5C1FC" w:rsidR="00AC0216" w:rsidRPr="00F04127" w:rsidRDefault="00F04127" w:rsidP="00F04127">
      <w:pPr>
        <w:pStyle w:val="TableText"/>
        <w:keepNext/>
        <w:rPr>
          <w:szCs w:val="18"/>
        </w:rPr>
      </w:pPr>
      <w:r w:rsidRPr="00F04127">
        <w:rPr>
          <w:szCs w:val="18"/>
        </w:rPr>
        <w:t>Manager, School Support Unit</w:t>
      </w:r>
    </w:p>
    <w:p w14:paraId="12C82646" w14:textId="6A78DDCE" w:rsidR="002F05A8" w:rsidRPr="00F04127" w:rsidRDefault="002F05A8" w:rsidP="00F04127">
      <w:pPr>
        <w:pStyle w:val="TableText"/>
        <w:keepNext/>
        <w:rPr>
          <w:szCs w:val="18"/>
        </w:rPr>
      </w:pPr>
      <w:r w:rsidRPr="00F04127">
        <w:rPr>
          <w:szCs w:val="18"/>
        </w:rPr>
        <w:t>International Education Division</w:t>
      </w:r>
    </w:p>
    <w:p w14:paraId="23710833" w14:textId="07CE5973" w:rsidR="002F05A8" w:rsidRPr="00F04127" w:rsidRDefault="002F05A8" w:rsidP="002F05A8">
      <w:pPr>
        <w:pStyle w:val="TableText"/>
        <w:rPr>
          <w:szCs w:val="18"/>
        </w:rPr>
      </w:pPr>
      <w:r w:rsidRPr="00F04127">
        <w:rPr>
          <w:szCs w:val="18"/>
        </w:rPr>
        <w:t>Depar</w:t>
      </w:r>
      <w:r w:rsidR="00330478" w:rsidRPr="00F04127">
        <w:rPr>
          <w:szCs w:val="18"/>
        </w:rPr>
        <w:t>tment of Education and Training</w:t>
      </w:r>
    </w:p>
    <w:p w14:paraId="2B746C92" w14:textId="77777777" w:rsidR="00B402F9" w:rsidRPr="00F04127" w:rsidRDefault="00B402F9" w:rsidP="00B402F9">
      <w:pPr>
        <w:pStyle w:val="Authorisationtext"/>
        <w:shd w:val="clear" w:color="auto" w:fill="auto"/>
      </w:pPr>
      <w:r w:rsidRPr="00F04127">
        <w:t>Level 28, 80 Collins Street, Melbourne, Victoria 3000</w:t>
      </w:r>
    </w:p>
    <w:p w14:paraId="36F14379" w14:textId="5C1FB4FD" w:rsidR="002F05A8" w:rsidRPr="00F04127" w:rsidRDefault="002F05A8" w:rsidP="002F05A8">
      <w:pPr>
        <w:pStyle w:val="TableText"/>
        <w:rPr>
          <w:szCs w:val="18"/>
        </w:rPr>
      </w:pPr>
      <w:r w:rsidRPr="00F04127">
        <w:rPr>
          <w:szCs w:val="18"/>
        </w:rPr>
        <w:t xml:space="preserve">Email: </w:t>
      </w:r>
      <w:r w:rsidR="00F04127" w:rsidRPr="00F04127">
        <w:rPr>
          <w:szCs w:val="18"/>
        </w:rPr>
        <w:t>international@education.vic.gov.au</w:t>
      </w:r>
    </w:p>
    <w:p w14:paraId="60B64F46" w14:textId="0C6BC399" w:rsidR="009A20EC" w:rsidRPr="00F04127" w:rsidRDefault="002F05A8" w:rsidP="002F05A8">
      <w:pPr>
        <w:pStyle w:val="TableText"/>
      </w:pPr>
      <w:r w:rsidRPr="00F04127">
        <w:rPr>
          <w:szCs w:val="18"/>
        </w:rPr>
        <w:t xml:space="preserve">Phone: </w:t>
      </w:r>
      <w:r w:rsidR="0026579C" w:rsidRPr="00F04127">
        <w:rPr>
          <w:szCs w:val="18"/>
        </w:rPr>
        <w:t xml:space="preserve">+ 61 </w:t>
      </w:r>
      <w:r w:rsidRPr="00F04127">
        <w:rPr>
          <w:szCs w:val="18"/>
        </w:rPr>
        <w:t>3 7022 1000</w:t>
      </w:r>
    </w:p>
    <w:p w14:paraId="4D0C13DC" w14:textId="77777777" w:rsidR="009A20EC" w:rsidRPr="00F04127" w:rsidRDefault="009A20EC" w:rsidP="00EF47AC">
      <w:pPr>
        <w:pStyle w:val="Heading2"/>
        <w:shd w:val="clear" w:color="auto" w:fill="F2F2F2" w:themeFill="background1" w:themeFillShade="F2"/>
      </w:pPr>
      <w:r w:rsidRPr="00F04127">
        <w:t>Authorised</w:t>
      </w:r>
    </w:p>
    <w:p w14:paraId="187670E8" w14:textId="7B614103" w:rsidR="009A20EC" w:rsidRPr="00F04127" w:rsidRDefault="00A6099F" w:rsidP="008D08EA">
      <w:pPr>
        <w:pStyle w:val="Authorisationtext"/>
      </w:pPr>
      <w:r>
        <w:t xml:space="preserve">Linda Vaughan, </w:t>
      </w:r>
      <w:r w:rsidR="009A20EC" w:rsidRPr="00F04127">
        <w:t>Executive Director, International Education Division</w:t>
      </w:r>
    </w:p>
    <w:p w14:paraId="3C1396E9" w14:textId="77777777" w:rsidR="000942B0" w:rsidRPr="00F04127" w:rsidRDefault="000942B0" w:rsidP="008D08EA">
      <w:pPr>
        <w:pStyle w:val="Authorisationtext"/>
      </w:pPr>
    </w:p>
    <w:p w14:paraId="699C50FC" w14:textId="77777777" w:rsidR="00244563" w:rsidRDefault="009A20EC" w:rsidP="00244563">
      <w:pPr>
        <w:pStyle w:val="Authorisationtext"/>
        <w:tabs>
          <w:tab w:val="left" w:pos="720"/>
          <w:tab w:val="left" w:pos="1440"/>
          <w:tab w:val="left" w:pos="2160"/>
          <w:tab w:val="left" w:pos="2880"/>
          <w:tab w:val="center" w:pos="5230"/>
        </w:tabs>
      </w:pPr>
      <w:r w:rsidRPr="00F04127">
        <w:rPr>
          <w:b/>
        </w:rPr>
        <w:t>Date of authorisation</w:t>
      </w:r>
      <w:r w:rsidRPr="00F04127">
        <w:t>:</w:t>
      </w:r>
      <w:r w:rsidRPr="00F04127">
        <w:tab/>
      </w:r>
      <w:r w:rsidR="00A6099F">
        <w:t>19</w:t>
      </w:r>
      <w:r w:rsidRPr="00F04127">
        <w:t>/</w:t>
      </w:r>
      <w:r w:rsidR="001D490B">
        <w:t>04</w:t>
      </w:r>
      <w:r w:rsidRPr="00F04127">
        <w:t>/20</w:t>
      </w:r>
      <w:r w:rsidR="001D490B">
        <w:t>22</w:t>
      </w:r>
    </w:p>
    <w:p w14:paraId="56912CC1" w14:textId="618910B4" w:rsidR="009A20EC" w:rsidRPr="00F04127" w:rsidRDefault="00244563" w:rsidP="001E49ED">
      <w:pPr>
        <w:pStyle w:val="Authorisationtext"/>
      </w:pPr>
      <w:r w:rsidRPr="00F04127">
        <w:rPr>
          <w:b/>
        </w:rPr>
        <w:t>Review frequency</w:t>
      </w:r>
      <w:r w:rsidRPr="00F04127">
        <w:t xml:space="preserve">: </w:t>
      </w:r>
      <w:r w:rsidRPr="00F04127">
        <w:tab/>
        <w:t xml:space="preserve">This policy will be reviewed at minimum every 12 months or when any changes arise impacting its </w:t>
      </w:r>
      <w:r w:rsidRPr="00F04127">
        <w:tab/>
      </w:r>
      <w:r w:rsidRPr="00F04127">
        <w:tab/>
      </w:r>
      <w:r w:rsidRPr="00F04127">
        <w:tab/>
      </w:r>
      <w:r w:rsidRPr="00F04127">
        <w:tab/>
        <w:t>currency, including legislative or regulation change.</w:t>
      </w:r>
    </w:p>
    <w:bookmarkEnd w:id="0"/>
    <w:bookmarkEnd w:id="1"/>
    <w:p w14:paraId="15B5C6DF" w14:textId="54519326" w:rsidR="00A6099F" w:rsidRPr="0049782A" w:rsidRDefault="00A6099F" w:rsidP="00B831CC"/>
    <w:sectPr w:rsidR="00A6099F" w:rsidRPr="0049782A" w:rsidSect="00F04127">
      <w:footerReference w:type="default" r:id="rId36"/>
      <w:headerReference w:type="first" r:id="rId37"/>
      <w:footerReference w:type="first" r:id="rId38"/>
      <w:type w:val="continuous"/>
      <w:pgSz w:w="11900" w:h="16840" w:code="9"/>
      <w:pgMar w:top="720" w:right="720" w:bottom="720" w:left="720" w:header="567" w:footer="8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DA44" w14:textId="77777777" w:rsidR="004F2E52" w:rsidRDefault="004F2E52">
      <w:pPr>
        <w:spacing w:line="240" w:lineRule="auto"/>
      </w:pPr>
      <w:r>
        <w:separator/>
      </w:r>
    </w:p>
  </w:endnote>
  <w:endnote w:type="continuationSeparator" w:id="0">
    <w:p w14:paraId="75089048" w14:textId="77777777" w:rsidR="004F2E52" w:rsidRDefault="004F2E52">
      <w:pPr>
        <w:spacing w:line="240" w:lineRule="auto"/>
      </w:pPr>
      <w:r>
        <w:continuationSeparator/>
      </w:r>
    </w:p>
  </w:endnote>
  <w:endnote w:type="continuationNotice" w:id="1">
    <w:p w14:paraId="1FDE1784" w14:textId="77777777" w:rsidR="004F2E52" w:rsidRDefault="004F2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etaBoldLF-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2D8C" w14:textId="77777777" w:rsidR="00D9013C" w:rsidRPr="00394CF6" w:rsidRDefault="00D9013C" w:rsidP="00394CF6">
    <w:pPr>
      <w:pStyle w:val="Header"/>
      <w:rPr>
        <w:rFonts w:cs="Arial"/>
        <w:color w:val="7F7F7F" w:themeColor="text1" w:themeTint="80"/>
        <w:sz w:val="16"/>
        <w:szCs w:val="16"/>
      </w:rPr>
    </w:pPr>
  </w:p>
  <w:p w14:paraId="5235193E" w14:textId="766744A0" w:rsidR="00D9013C" w:rsidRPr="00437D5A" w:rsidRDefault="00D9013C" w:rsidP="00437D5A">
    <w:pPr>
      <w:pStyle w:val="Footer"/>
      <w:tabs>
        <w:tab w:val="clear" w:pos="10348"/>
        <w:tab w:val="right" w:pos="10460"/>
      </w:tabs>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B406D0">
      <w:rPr>
        <w:noProof/>
      </w:rPr>
      <w:t>3</w:t>
    </w:r>
    <w:r w:rsidRPr="00437D5A">
      <w:fldChar w:fldCharType="end"/>
    </w:r>
    <w:r w:rsidRPr="00437D5A">
      <w:t xml:space="preserve"> of </w:t>
    </w:r>
    <w:r w:rsidR="002C180F">
      <w:fldChar w:fldCharType="begin"/>
    </w:r>
    <w:r w:rsidR="002C180F">
      <w:instrText xml:space="preserve"> NUMPAGES  \* Arabic  \* MERGEFORMAT </w:instrText>
    </w:r>
    <w:r w:rsidR="002C180F">
      <w:fldChar w:fldCharType="separate"/>
    </w:r>
    <w:r w:rsidR="00B406D0">
      <w:rPr>
        <w:noProof/>
      </w:rPr>
      <w:t>4</w:t>
    </w:r>
    <w:r w:rsidR="002C180F">
      <w:rPr>
        <w:noProof/>
      </w:rPr>
      <w:fldChar w:fldCharType="end"/>
    </w:r>
  </w:p>
  <w:p w14:paraId="071270BF" w14:textId="169AFF06" w:rsidR="00D9013C" w:rsidRDefault="00D9013C" w:rsidP="00BD1666">
    <w:pPr>
      <w:pStyle w:val="Footer"/>
      <w:tabs>
        <w:tab w:val="clear" w:pos="10348"/>
        <w:tab w:val="right" w:pos="10460"/>
      </w:tabs>
    </w:pPr>
    <w:r>
      <w:t>Copyright State of Victoria 20</w:t>
    </w:r>
    <w:r w:rsidR="00F04127">
      <w:t>22</w:t>
    </w:r>
    <w:r w:rsidR="00F04127">
      <w:tab/>
    </w:r>
    <w:r w:rsidR="00F04127">
      <w:tab/>
      <w:t>Version 2.1</w:t>
    </w:r>
    <w:r w:rsidR="002C180F">
      <w:t>, as of 20 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7B32" w14:textId="5C86035A" w:rsidR="00D9013C" w:rsidRPr="00394CF6" w:rsidRDefault="002C180F" w:rsidP="00F04127">
    <w:pPr>
      <w:pStyle w:val="Footer"/>
      <w:pBdr>
        <w:top w:val="none" w:sz="0" w:space="0" w:color="auto"/>
      </w:pBdr>
    </w:pPr>
    <w:r>
      <w:rPr>
        <w:noProof/>
        <w:lang w:eastAsia="en-AU"/>
      </w:rPr>
      <w:pict w14:anchorId="0EB3A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2.25pt">
          <v:imagedata r:id="rId1" o:title="ISP Footer White Background November 2019"/>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43F6" w14:textId="77777777" w:rsidR="004F2E52" w:rsidRDefault="004F2E52">
      <w:pPr>
        <w:spacing w:line="240" w:lineRule="auto"/>
      </w:pPr>
      <w:r>
        <w:separator/>
      </w:r>
    </w:p>
  </w:footnote>
  <w:footnote w:type="continuationSeparator" w:id="0">
    <w:p w14:paraId="3872FD23" w14:textId="77777777" w:rsidR="004F2E52" w:rsidRDefault="004F2E52">
      <w:pPr>
        <w:spacing w:line="240" w:lineRule="auto"/>
      </w:pPr>
      <w:r>
        <w:continuationSeparator/>
      </w:r>
    </w:p>
  </w:footnote>
  <w:footnote w:type="continuationNotice" w:id="1">
    <w:p w14:paraId="1AB831DD" w14:textId="77777777" w:rsidR="004F2E52" w:rsidRDefault="004F2E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5E43" w14:textId="77777777" w:rsidR="00D9013C" w:rsidRPr="00B367E9" w:rsidRDefault="00D9013C" w:rsidP="006E06A7">
    <w:pPr>
      <w:pStyle w:val="Header"/>
    </w:pPr>
    <w:r>
      <w:rPr>
        <w:noProof/>
        <w:lang w:eastAsia="en-AU"/>
      </w:rPr>
      <w:drawing>
        <wp:anchor distT="0" distB="0" distL="114300" distR="114300" simplePos="0" relativeHeight="251658240" behindDoc="0" locked="0" layoutInCell="1" allowOverlap="1" wp14:anchorId="6D6E6363" wp14:editId="3EE7BB8F">
          <wp:simplePos x="0" y="0"/>
          <wp:positionH relativeFrom="column">
            <wp:posOffset>-456837</wp:posOffset>
          </wp:positionH>
          <wp:positionV relativeFrom="paragraph">
            <wp:posOffset>-342900</wp:posOffset>
          </wp:positionV>
          <wp:extent cx="7664654" cy="13932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2631F5"/>
    <w:multiLevelType w:val="hybridMultilevel"/>
    <w:tmpl w:val="6032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9EF5189"/>
    <w:multiLevelType w:val="hybridMultilevel"/>
    <w:tmpl w:val="9BC2D2F2"/>
    <w:lvl w:ilvl="0" w:tplc="E2A0A10E">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5">
      <w:start w:val="1"/>
      <w:numFmt w:val="bullet"/>
      <w:lvlText w:val=""/>
      <w:lvlJc w:val="left"/>
      <w:pPr>
        <w:ind w:left="2520" w:hanging="360"/>
      </w:pPr>
      <w:rPr>
        <w:rFonts w:ascii="Wingdings" w:hAnsi="Wingding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27777F"/>
    <w:multiLevelType w:val="multilevel"/>
    <w:tmpl w:val="AC70F576"/>
    <w:styleLink w:val="BulletList"/>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8" w15:restartNumberingAfterBreak="0">
    <w:nsid w:val="14095E0F"/>
    <w:multiLevelType w:val="multilevel"/>
    <w:tmpl w:val="079E818E"/>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Level2"/>
      <w:lvlText w:val="o"/>
      <w:lvlJc w:val="left"/>
      <w:pPr>
        <w:tabs>
          <w:tab w:val="num" w:pos="680"/>
        </w:tabs>
        <w:ind w:left="680" w:hanging="340"/>
      </w:pPr>
      <w:rPr>
        <w:rFonts w:ascii="Courier New" w:hAnsi="Courier New" w:cs="Courier New"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9" w15:restartNumberingAfterBreak="0">
    <w:nsid w:val="19114576"/>
    <w:multiLevelType w:val="hybridMultilevel"/>
    <w:tmpl w:val="F918AB24"/>
    <w:lvl w:ilvl="0" w:tplc="E2A0A10E">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1"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76918FB"/>
    <w:multiLevelType w:val="hybridMultilevel"/>
    <w:tmpl w:val="2E12D90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3A39D3"/>
    <w:multiLevelType w:val="singleLevel"/>
    <w:tmpl w:val="6E8C83F2"/>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37DC4314"/>
    <w:multiLevelType w:val="multilevel"/>
    <w:tmpl w:val="2C38BA9C"/>
    <w:numStyleLink w:val="BASTCoPList"/>
  </w:abstractNum>
  <w:abstractNum w:abstractNumId="16" w15:restartNumberingAfterBreak="0">
    <w:nsid w:val="387C27FB"/>
    <w:multiLevelType w:val="hybridMultilevel"/>
    <w:tmpl w:val="F8A44DE0"/>
    <w:lvl w:ilvl="0" w:tplc="0C090003">
      <w:start w:val="1"/>
      <w:numFmt w:val="bullet"/>
      <w:lvlText w:val="o"/>
      <w:lvlJc w:val="left"/>
      <w:pPr>
        <w:ind w:left="700" w:hanging="360"/>
      </w:pPr>
      <w:rPr>
        <w:rFonts w:ascii="Courier New" w:hAnsi="Courier New" w:cs="Courier New" w:hint="default"/>
      </w:rPr>
    </w:lvl>
    <w:lvl w:ilvl="1" w:tplc="0C090003">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7" w15:restartNumberingAfterBreak="0">
    <w:nsid w:val="3946651C"/>
    <w:multiLevelType w:val="hybridMultilevel"/>
    <w:tmpl w:val="FB72C992"/>
    <w:lvl w:ilvl="0" w:tplc="0B8E87F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9" w15:restartNumberingAfterBreak="0">
    <w:nsid w:val="41132E78"/>
    <w:multiLevelType w:val="hybridMultilevel"/>
    <w:tmpl w:val="8AD2FEC2"/>
    <w:lvl w:ilvl="0" w:tplc="D83C0A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625F0A"/>
    <w:multiLevelType w:val="multilevel"/>
    <w:tmpl w:val="A0A0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6416B3"/>
    <w:multiLevelType w:val="hybridMultilevel"/>
    <w:tmpl w:val="47748754"/>
    <w:lvl w:ilvl="0" w:tplc="FE849B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B45E22"/>
    <w:multiLevelType w:val="hybridMultilevel"/>
    <w:tmpl w:val="6100B350"/>
    <w:lvl w:ilvl="0" w:tplc="301AE5F8">
      <w:start w:val="1"/>
      <w:numFmt w:val="bullet"/>
      <w:pStyle w:val="ListBullet"/>
      <w:lvlText w:val=""/>
      <w:lvlJc w:val="left"/>
      <w:pPr>
        <w:ind w:left="720" w:hanging="360"/>
      </w:pPr>
      <w:rPr>
        <w:rFonts w:ascii="Symbol" w:hAnsi="Symbol" w:hint="default"/>
      </w:rPr>
    </w:lvl>
    <w:lvl w:ilvl="1" w:tplc="B2D4E3DC">
      <w:start w:val="1"/>
      <w:numFmt w:val="bullet"/>
      <w:pStyle w:val="Bullet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B27D49"/>
    <w:multiLevelType w:val="hybridMultilevel"/>
    <w:tmpl w:val="7A92C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6B625F"/>
    <w:multiLevelType w:val="hybridMultilevel"/>
    <w:tmpl w:val="5F0A9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DD09EC"/>
    <w:multiLevelType w:val="hybridMultilevel"/>
    <w:tmpl w:val="94A04358"/>
    <w:lvl w:ilvl="0" w:tplc="0C090003">
      <w:start w:val="1"/>
      <w:numFmt w:val="bullet"/>
      <w:lvlText w:val="o"/>
      <w:lvlJc w:val="left"/>
      <w:pPr>
        <w:ind w:left="700" w:hanging="360"/>
      </w:pPr>
      <w:rPr>
        <w:rFonts w:ascii="Courier New" w:hAnsi="Courier New" w:cs="Courier New"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6" w15:restartNumberingAfterBreak="0">
    <w:nsid w:val="7ACC3050"/>
    <w:multiLevelType w:val="hybridMultilevel"/>
    <w:tmpl w:val="C6842DC4"/>
    <w:lvl w:ilvl="0" w:tplc="206889BC">
      <w:start w:val="1"/>
      <w:numFmt w:val="bullet"/>
      <w:pStyle w:val="ListBullet2"/>
      <w:lvlText w:val=""/>
      <w:lvlJc w:val="left"/>
      <w:pPr>
        <w:ind w:left="720" w:hanging="360"/>
      </w:pPr>
      <w:rPr>
        <w:rFonts w:ascii="Symbol" w:hAnsi="Symbol" w:hint="default"/>
      </w:rPr>
    </w:lvl>
    <w:lvl w:ilvl="1" w:tplc="E0A48438">
      <w:start w:val="1"/>
      <w:numFmt w:val="bullet"/>
      <w:lvlText w:val=""/>
      <w:lvlJc w:val="left"/>
      <w:pPr>
        <w:ind w:left="1440" w:hanging="360"/>
      </w:pPr>
      <w:rPr>
        <w:rFonts w:ascii="Symbol" w:hAnsi="Symbol"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39409A"/>
    <w:multiLevelType w:val="multilevel"/>
    <w:tmpl w:val="AC70F576"/>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11"/>
  </w:num>
  <w:num w:numId="8">
    <w:abstractNumId w:val="14"/>
  </w:num>
  <w:num w:numId="9">
    <w:abstractNumId w:val="15"/>
  </w:num>
  <w:num w:numId="10">
    <w:abstractNumId w:val="27"/>
  </w:num>
  <w:num w:numId="11">
    <w:abstractNumId w:val="10"/>
  </w:num>
  <w:num w:numId="12">
    <w:abstractNumId w:val="18"/>
  </w:num>
  <w:num w:numId="13">
    <w:abstractNumId w:val="19"/>
  </w:num>
  <w:num w:numId="14">
    <w:abstractNumId w:val="13"/>
  </w:num>
  <w:num w:numId="15">
    <w:abstractNumId w:val="12"/>
  </w:num>
  <w:num w:numId="16">
    <w:abstractNumId w:val="21"/>
  </w:num>
  <w:num w:numId="17">
    <w:abstractNumId w:val="24"/>
  </w:num>
  <w:num w:numId="18">
    <w:abstractNumId w:val="27"/>
  </w:num>
  <w:num w:numId="19">
    <w:abstractNumId w:val="27"/>
  </w:num>
  <w:num w:numId="20">
    <w:abstractNumId w:val="27"/>
  </w:num>
  <w:num w:numId="21">
    <w:abstractNumId w:val="20"/>
  </w:num>
  <w:num w:numId="22">
    <w:abstractNumId w:val="22"/>
  </w:num>
  <w:num w:numId="23">
    <w:abstractNumId w:val="15"/>
  </w:num>
  <w:num w:numId="24">
    <w:abstractNumId w:val="26"/>
  </w:num>
  <w:num w:numId="25">
    <w:abstractNumId w:val="23"/>
  </w:num>
  <w:num w:numId="26">
    <w:abstractNumId w:val="4"/>
  </w:num>
  <w:num w:numId="27">
    <w:abstractNumId w:val="25"/>
  </w:num>
  <w:num w:numId="28">
    <w:abstractNumId w:val="17"/>
  </w:num>
  <w:num w:numId="29">
    <w:abstractNumId w:val="16"/>
  </w:num>
  <w:num w:numId="30">
    <w:abstractNumId w:val="22"/>
  </w:num>
  <w:num w:numId="31">
    <w:abstractNumId w:val="22"/>
  </w:num>
  <w:num w:numId="32">
    <w:abstractNumId w:val="22"/>
  </w:num>
  <w:num w:numId="33">
    <w:abstractNumId w:val="22"/>
  </w:num>
  <w:num w:numId="34">
    <w:abstractNumId w:val="9"/>
  </w:num>
  <w:num w:numId="35">
    <w:abstractNumId w:val="6"/>
  </w:num>
  <w:num w:numId="36">
    <w:abstractNumId w:val="8"/>
  </w:num>
  <w:num w:numId="3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4915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5D4A"/>
    <w:rsid w:val="000064B9"/>
    <w:rsid w:val="00014D3C"/>
    <w:rsid w:val="000160CE"/>
    <w:rsid w:val="00016FD6"/>
    <w:rsid w:val="00027634"/>
    <w:rsid w:val="00032ADB"/>
    <w:rsid w:val="00035984"/>
    <w:rsid w:val="00041775"/>
    <w:rsid w:val="00043E51"/>
    <w:rsid w:val="00046600"/>
    <w:rsid w:val="00046928"/>
    <w:rsid w:val="0005656E"/>
    <w:rsid w:val="00057451"/>
    <w:rsid w:val="0005754E"/>
    <w:rsid w:val="00060E05"/>
    <w:rsid w:val="000632BD"/>
    <w:rsid w:val="00064B20"/>
    <w:rsid w:val="0006740D"/>
    <w:rsid w:val="00072E91"/>
    <w:rsid w:val="0007427E"/>
    <w:rsid w:val="00074756"/>
    <w:rsid w:val="000852D9"/>
    <w:rsid w:val="00090B90"/>
    <w:rsid w:val="000942B0"/>
    <w:rsid w:val="000947F3"/>
    <w:rsid w:val="00095A28"/>
    <w:rsid w:val="000A471B"/>
    <w:rsid w:val="000B5256"/>
    <w:rsid w:val="000B63D8"/>
    <w:rsid w:val="000C06E6"/>
    <w:rsid w:val="000C2E7D"/>
    <w:rsid w:val="000C3932"/>
    <w:rsid w:val="000D10CA"/>
    <w:rsid w:val="000D485E"/>
    <w:rsid w:val="000D50FB"/>
    <w:rsid w:val="000D5372"/>
    <w:rsid w:val="000D7989"/>
    <w:rsid w:val="000E5D45"/>
    <w:rsid w:val="000E6AB2"/>
    <w:rsid w:val="000F0322"/>
    <w:rsid w:val="000F1556"/>
    <w:rsid w:val="000F5BDF"/>
    <w:rsid w:val="00103CFF"/>
    <w:rsid w:val="0011043E"/>
    <w:rsid w:val="001214B9"/>
    <w:rsid w:val="00123C6F"/>
    <w:rsid w:val="001251B9"/>
    <w:rsid w:val="00125D77"/>
    <w:rsid w:val="0012684A"/>
    <w:rsid w:val="00130661"/>
    <w:rsid w:val="001315AF"/>
    <w:rsid w:val="001351BE"/>
    <w:rsid w:val="00137408"/>
    <w:rsid w:val="00144386"/>
    <w:rsid w:val="0014588F"/>
    <w:rsid w:val="0014749C"/>
    <w:rsid w:val="0015384E"/>
    <w:rsid w:val="00154803"/>
    <w:rsid w:val="00155DCA"/>
    <w:rsid w:val="00157E44"/>
    <w:rsid w:val="00160255"/>
    <w:rsid w:val="00163B82"/>
    <w:rsid w:val="00165C17"/>
    <w:rsid w:val="0017035E"/>
    <w:rsid w:val="00171C1C"/>
    <w:rsid w:val="00173596"/>
    <w:rsid w:val="00173A3D"/>
    <w:rsid w:val="00174FF7"/>
    <w:rsid w:val="00175D2F"/>
    <w:rsid w:val="00182E14"/>
    <w:rsid w:val="00182FD1"/>
    <w:rsid w:val="001871BC"/>
    <w:rsid w:val="001878AD"/>
    <w:rsid w:val="001A53D7"/>
    <w:rsid w:val="001B344B"/>
    <w:rsid w:val="001B6CD3"/>
    <w:rsid w:val="001B769A"/>
    <w:rsid w:val="001C0949"/>
    <w:rsid w:val="001C37AC"/>
    <w:rsid w:val="001C771C"/>
    <w:rsid w:val="001D490B"/>
    <w:rsid w:val="001D4DC1"/>
    <w:rsid w:val="001E49ED"/>
    <w:rsid w:val="001F5FA5"/>
    <w:rsid w:val="001F6E93"/>
    <w:rsid w:val="002017B0"/>
    <w:rsid w:val="0020201E"/>
    <w:rsid w:val="00203E4B"/>
    <w:rsid w:val="0020669E"/>
    <w:rsid w:val="0021013E"/>
    <w:rsid w:val="00211924"/>
    <w:rsid w:val="002131DC"/>
    <w:rsid w:val="002137D1"/>
    <w:rsid w:val="002140ED"/>
    <w:rsid w:val="00215297"/>
    <w:rsid w:val="00221299"/>
    <w:rsid w:val="00222B2A"/>
    <w:rsid w:val="00222E9A"/>
    <w:rsid w:val="00222F3A"/>
    <w:rsid w:val="00224978"/>
    <w:rsid w:val="00226BE4"/>
    <w:rsid w:val="00226EC2"/>
    <w:rsid w:val="002271C7"/>
    <w:rsid w:val="00232309"/>
    <w:rsid w:val="0023430A"/>
    <w:rsid w:val="00241AF5"/>
    <w:rsid w:val="00244563"/>
    <w:rsid w:val="00245433"/>
    <w:rsid w:val="00250534"/>
    <w:rsid w:val="00250A17"/>
    <w:rsid w:val="00250A91"/>
    <w:rsid w:val="00254C31"/>
    <w:rsid w:val="0025683D"/>
    <w:rsid w:val="002576D8"/>
    <w:rsid w:val="0026001A"/>
    <w:rsid w:val="0026579C"/>
    <w:rsid w:val="002715A2"/>
    <w:rsid w:val="002743FB"/>
    <w:rsid w:val="00274E79"/>
    <w:rsid w:val="0027508F"/>
    <w:rsid w:val="0028266F"/>
    <w:rsid w:val="0028666E"/>
    <w:rsid w:val="00287308"/>
    <w:rsid w:val="002878AA"/>
    <w:rsid w:val="0029105A"/>
    <w:rsid w:val="00292930"/>
    <w:rsid w:val="002952DE"/>
    <w:rsid w:val="00295DC8"/>
    <w:rsid w:val="002A1651"/>
    <w:rsid w:val="002A3D1F"/>
    <w:rsid w:val="002A4120"/>
    <w:rsid w:val="002B480E"/>
    <w:rsid w:val="002B59C6"/>
    <w:rsid w:val="002C0634"/>
    <w:rsid w:val="002C180F"/>
    <w:rsid w:val="002C3C1B"/>
    <w:rsid w:val="002C77A8"/>
    <w:rsid w:val="002D287B"/>
    <w:rsid w:val="002D2ED8"/>
    <w:rsid w:val="002E2780"/>
    <w:rsid w:val="002F05A8"/>
    <w:rsid w:val="002F51F2"/>
    <w:rsid w:val="002F655B"/>
    <w:rsid w:val="0030150C"/>
    <w:rsid w:val="0031090B"/>
    <w:rsid w:val="00311B46"/>
    <w:rsid w:val="00315318"/>
    <w:rsid w:val="00315874"/>
    <w:rsid w:val="003202B2"/>
    <w:rsid w:val="00330478"/>
    <w:rsid w:val="00331140"/>
    <w:rsid w:val="003377B0"/>
    <w:rsid w:val="00337CF6"/>
    <w:rsid w:val="00351A0A"/>
    <w:rsid w:val="00352A6B"/>
    <w:rsid w:val="00353D22"/>
    <w:rsid w:val="00356986"/>
    <w:rsid w:val="00371A90"/>
    <w:rsid w:val="00371C6A"/>
    <w:rsid w:val="003736BA"/>
    <w:rsid w:val="003741B6"/>
    <w:rsid w:val="00380AE8"/>
    <w:rsid w:val="0038330D"/>
    <w:rsid w:val="00387552"/>
    <w:rsid w:val="00392389"/>
    <w:rsid w:val="00394CF6"/>
    <w:rsid w:val="003A7F81"/>
    <w:rsid w:val="003B2C18"/>
    <w:rsid w:val="003B3784"/>
    <w:rsid w:val="003B52C2"/>
    <w:rsid w:val="003B5F7F"/>
    <w:rsid w:val="003B6520"/>
    <w:rsid w:val="003B7B51"/>
    <w:rsid w:val="003C0CE6"/>
    <w:rsid w:val="003C4140"/>
    <w:rsid w:val="003C54CB"/>
    <w:rsid w:val="003C6564"/>
    <w:rsid w:val="003D7701"/>
    <w:rsid w:val="003E33A4"/>
    <w:rsid w:val="003E7CFD"/>
    <w:rsid w:val="003F0E5A"/>
    <w:rsid w:val="003F1941"/>
    <w:rsid w:val="003F355A"/>
    <w:rsid w:val="003F3CDE"/>
    <w:rsid w:val="003F5740"/>
    <w:rsid w:val="00400546"/>
    <w:rsid w:val="004068E7"/>
    <w:rsid w:val="00410C4D"/>
    <w:rsid w:val="00415402"/>
    <w:rsid w:val="0042587E"/>
    <w:rsid w:val="004323F9"/>
    <w:rsid w:val="004365BF"/>
    <w:rsid w:val="004366A9"/>
    <w:rsid w:val="00437D5A"/>
    <w:rsid w:val="00441AFC"/>
    <w:rsid w:val="004463EB"/>
    <w:rsid w:val="004477F2"/>
    <w:rsid w:val="00457C76"/>
    <w:rsid w:val="00457DF2"/>
    <w:rsid w:val="00464D2A"/>
    <w:rsid w:val="00465EC0"/>
    <w:rsid w:val="004668EB"/>
    <w:rsid w:val="00467168"/>
    <w:rsid w:val="00486396"/>
    <w:rsid w:val="00487E5A"/>
    <w:rsid w:val="00494657"/>
    <w:rsid w:val="0049543C"/>
    <w:rsid w:val="0049782A"/>
    <w:rsid w:val="004A078A"/>
    <w:rsid w:val="004A4FC6"/>
    <w:rsid w:val="004A55D4"/>
    <w:rsid w:val="004A6056"/>
    <w:rsid w:val="004B0E7A"/>
    <w:rsid w:val="004B2364"/>
    <w:rsid w:val="004B3A50"/>
    <w:rsid w:val="004B4062"/>
    <w:rsid w:val="004B46AC"/>
    <w:rsid w:val="004C27D6"/>
    <w:rsid w:val="004C373C"/>
    <w:rsid w:val="004D488E"/>
    <w:rsid w:val="004E2857"/>
    <w:rsid w:val="004E2B73"/>
    <w:rsid w:val="004E409F"/>
    <w:rsid w:val="004E45E3"/>
    <w:rsid w:val="004E4D97"/>
    <w:rsid w:val="004E5C84"/>
    <w:rsid w:val="004F149D"/>
    <w:rsid w:val="004F2E52"/>
    <w:rsid w:val="004F33E4"/>
    <w:rsid w:val="004F747C"/>
    <w:rsid w:val="004F77FB"/>
    <w:rsid w:val="00503B96"/>
    <w:rsid w:val="0050781D"/>
    <w:rsid w:val="005107A5"/>
    <w:rsid w:val="00510D7E"/>
    <w:rsid w:val="0051159A"/>
    <w:rsid w:val="005154AD"/>
    <w:rsid w:val="00522476"/>
    <w:rsid w:val="00522BEA"/>
    <w:rsid w:val="005238C7"/>
    <w:rsid w:val="00524E62"/>
    <w:rsid w:val="00525865"/>
    <w:rsid w:val="00527008"/>
    <w:rsid w:val="00531486"/>
    <w:rsid w:val="005317FC"/>
    <w:rsid w:val="00532CD2"/>
    <w:rsid w:val="00533904"/>
    <w:rsid w:val="00543629"/>
    <w:rsid w:val="00546B1A"/>
    <w:rsid w:val="00552CEE"/>
    <w:rsid w:val="00552D20"/>
    <w:rsid w:val="00553FD9"/>
    <w:rsid w:val="00555EC7"/>
    <w:rsid w:val="005566E9"/>
    <w:rsid w:val="0055678E"/>
    <w:rsid w:val="00557377"/>
    <w:rsid w:val="00557BA5"/>
    <w:rsid w:val="0056061B"/>
    <w:rsid w:val="00561843"/>
    <w:rsid w:val="0056185C"/>
    <w:rsid w:val="00561E18"/>
    <w:rsid w:val="00562F4C"/>
    <w:rsid w:val="00563C70"/>
    <w:rsid w:val="00567193"/>
    <w:rsid w:val="005735D0"/>
    <w:rsid w:val="005743F1"/>
    <w:rsid w:val="005753E1"/>
    <w:rsid w:val="00576C7E"/>
    <w:rsid w:val="0058165A"/>
    <w:rsid w:val="0058380F"/>
    <w:rsid w:val="0058575B"/>
    <w:rsid w:val="0059048F"/>
    <w:rsid w:val="0059509E"/>
    <w:rsid w:val="005A2434"/>
    <w:rsid w:val="005B0F4D"/>
    <w:rsid w:val="005B1354"/>
    <w:rsid w:val="005B5205"/>
    <w:rsid w:val="005B5E1A"/>
    <w:rsid w:val="005C05D4"/>
    <w:rsid w:val="005C1DD5"/>
    <w:rsid w:val="005C308F"/>
    <w:rsid w:val="005C5913"/>
    <w:rsid w:val="005C789B"/>
    <w:rsid w:val="005D0726"/>
    <w:rsid w:val="005D4557"/>
    <w:rsid w:val="005D5765"/>
    <w:rsid w:val="005E1A66"/>
    <w:rsid w:val="005E1D13"/>
    <w:rsid w:val="005E4083"/>
    <w:rsid w:val="005E471F"/>
    <w:rsid w:val="005E4C9E"/>
    <w:rsid w:val="005F3517"/>
    <w:rsid w:val="005F56AB"/>
    <w:rsid w:val="005F587B"/>
    <w:rsid w:val="005F7300"/>
    <w:rsid w:val="006009D0"/>
    <w:rsid w:val="00604766"/>
    <w:rsid w:val="006074CA"/>
    <w:rsid w:val="00607D18"/>
    <w:rsid w:val="00612D8B"/>
    <w:rsid w:val="00613644"/>
    <w:rsid w:val="006136AD"/>
    <w:rsid w:val="0061684C"/>
    <w:rsid w:val="00621CE8"/>
    <w:rsid w:val="00622C9F"/>
    <w:rsid w:val="006238B0"/>
    <w:rsid w:val="006262BD"/>
    <w:rsid w:val="00627E19"/>
    <w:rsid w:val="00630DDA"/>
    <w:rsid w:val="00630F76"/>
    <w:rsid w:val="00632D04"/>
    <w:rsid w:val="00634F23"/>
    <w:rsid w:val="00644242"/>
    <w:rsid w:val="00644C3B"/>
    <w:rsid w:val="006462F1"/>
    <w:rsid w:val="00651662"/>
    <w:rsid w:val="006528F1"/>
    <w:rsid w:val="006557AB"/>
    <w:rsid w:val="00656020"/>
    <w:rsid w:val="006575A4"/>
    <w:rsid w:val="00662A86"/>
    <w:rsid w:val="00662BF5"/>
    <w:rsid w:val="006643D5"/>
    <w:rsid w:val="006748E8"/>
    <w:rsid w:val="00683CC1"/>
    <w:rsid w:val="00690CB0"/>
    <w:rsid w:val="0069347A"/>
    <w:rsid w:val="00696162"/>
    <w:rsid w:val="00696E86"/>
    <w:rsid w:val="006A065B"/>
    <w:rsid w:val="006A3271"/>
    <w:rsid w:val="006A4835"/>
    <w:rsid w:val="006A4B8F"/>
    <w:rsid w:val="006A7046"/>
    <w:rsid w:val="006A74C8"/>
    <w:rsid w:val="006B300F"/>
    <w:rsid w:val="006B3ACE"/>
    <w:rsid w:val="006B5824"/>
    <w:rsid w:val="006C1D99"/>
    <w:rsid w:val="006C2632"/>
    <w:rsid w:val="006C3618"/>
    <w:rsid w:val="006C3BE0"/>
    <w:rsid w:val="006D0B41"/>
    <w:rsid w:val="006E06A7"/>
    <w:rsid w:val="006E2F74"/>
    <w:rsid w:val="006E49F0"/>
    <w:rsid w:val="006E72D4"/>
    <w:rsid w:val="006F0E6D"/>
    <w:rsid w:val="006F1AB7"/>
    <w:rsid w:val="006F2212"/>
    <w:rsid w:val="006F441F"/>
    <w:rsid w:val="006F4FFD"/>
    <w:rsid w:val="006F510D"/>
    <w:rsid w:val="006F5567"/>
    <w:rsid w:val="006F7286"/>
    <w:rsid w:val="00702D22"/>
    <w:rsid w:val="007032E9"/>
    <w:rsid w:val="00703AA5"/>
    <w:rsid w:val="0070578C"/>
    <w:rsid w:val="0070712B"/>
    <w:rsid w:val="007174FC"/>
    <w:rsid w:val="007176D9"/>
    <w:rsid w:val="00732AC2"/>
    <w:rsid w:val="00736043"/>
    <w:rsid w:val="00740121"/>
    <w:rsid w:val="00740BDB"/>
    <w:rsid w:val="00741521"/>
    <w:rsid w:val="00746428"/>
    <w:rsid w:val="007479AC"/>
    <w:rsid w:val="00753D80"/>
    <w:rsid w:val="0076430E"/>
    <w:rsid w:val="00772F42"/>
    <w:rsid w:val="007804B0"/>
    <w:rsid w:val="0078391B"/>
    <w:rsid w:val="00785033"/>
    <w:rsid w:val="00785381"/>
    <w:rsid w:val="00786C2D"/>
    <w:rsid w:val="00791183"/>
    <w:rsid w:val="007914AA"/>
    <w:rsid w:val="007920C5"/>
    <w:rsid w:val="00796555"/>
    <w:rsid w:val="007A1620"/>
    <w:rsid w:val="007A7745"/>
    <w:rsid w:val="007B3E49"/>
    <w:rsid w:val="007B71F4"/>
    <w:rsid w:val="007C2448"/>
    <w:rsid w:val="007C3D53"/>
    <w:rsid w:val="007C57F8"/>
    <w:rsid w:val="007C73B4"/>
    <w:rsid w:val="007C79EC"/>
    <w:rsid w:val="007D0B93"/>
    <w:rsid w:val="007D2EC9"/>
    <w:rsid w:val="007D3D3D"/>
    <w:rsid w:val="007D42ED"/>
    <w:rsid w:val="007D5DDE"/>
    <w:rsid w:val="007D5F01"/>
    <w:rsid w:val="007D75D5"/>
    <w:rsid w:val="007D7D92"/>
    <w:rsid w:val="007E13F7"/>
    <w:rsid w:val="007E3DA0"/>
    <w:rsid w:val="007E5D46"/>
    <w:rsid w:val="007E5F88"/>
    <w:rsid w:val="007E70B3"/>
    <w:rsid w:val="007F0ECE"/>
    <w:rsid w:val="007F27E5"/>
    <w:rsid w:val="007F2E13"/>
    <w:rsid w:val="007F35FF"/>
    <w:rsid w:val="007F7084"/>
    <w:rsid w:val="00800A7D"/>
    <w:rsid w:val="00803AA9"/>
    <w:rsid w:val="00803CE8"/>
    <w:rsid w:val="00804578"/>
    <w:rsid w:val="00805350"/>
    <w:rsid w:val="00805FFB"/>
    <w:rsid w:val="0080785F"/>
    <w:rsid w:val="00807EEE"/>
    <w:rsid w:val="0081023F"/>
    <w:rsid w:val="00810C35"/>
    <w:rsid w:val="0081109D"/>
    <w:rsid w:val="008119A7"/>
    <w:rsid w:val="0081334D"/>
    <w:rsid w:val="00815942"/>
    <w:rsid w:val="0082216D"/>
    <w:rsid w:val="00824A15"/>
    <w:rsid w:val="00825F76"/>
    <w:rsid w:val="0083031C"/>
    <w:rsid w:val="0083555A"/>
    <w:rsid w:val="00835CA4"/>
    <w:rsid w:val="00836C47"/>
    <w:rsid w:val="0084028B"/>
    <w:rsid w:val="00840742"/>
    <w:rsid w:val="00843CA5"/>
    <w:rsid w:val="008450DE"/>
    <w:rsid w:val="0084653B"/>
    <w:rsid w:val="00847E33"/>
    <w:rsid w:val="008503FA"/>
    <w:rsid w:val="0085128C"/>
    <w:rsid w:val="00851C86"/>
    <w:rsid w:val="00862CAC"/>
    <w:rsid w:val="00864B57"/>
    <w:rsid w:val="00864D91"/>
    <w:rsid w:val="00872267"/>
    <w:rsid w:val="00876A89"/>
    <w:rsid w:val="00877A86"/>
    <w:rsid w:val="008819DC"/>
    <w:rsid w:val="00884716"/>
    <w:rsid w:val="00890663"/>
    <w:rsid w:val="00892E3F"/>
    <w:rsid w:val="00894D36"/>
    <w:rsid w:val="00894FF8"/>
    <w:rsid w:val="00895ED0"/>
    <w:rsid w:val="008967A9"/>
    <w:rsid w:val="0089731A"/>
    <w:rsid w:val="008A1421"/>
    <w:rsid w:val="008A6433"/>
    <w:rsid w:val="008B0042"/>
    <w:rsid w:val="008B15B6"/>
    <w:rsid w:val="008B17B9"/>
    <w:rsid w:val="008B1AD0"/>
    <w:rsid w:val="008B26A6"/>
    <w:rsid w:val="008C2EFF"/>
    <w:rsid w:val="008C390C"/>
    <w:rsid w:val="008C46F1"/>
    <w:rsid w:val="008C5B99"/>
    <w:rsid w:val="008D08EA"/>
    <w:rsid w:val="008D19D9"/>
    <w:rsid w:val="008D3D8D"/>
    <w:rsid w:val="008D7A94"/>
    <w:rsid w:val="008E1462"/>
    <w:rsid w:val="008E272B"/>
    <w:rsid w:val="008E2816"/>
    <w:rsid w:val="008E4C06"/>
    <w:rsid w:val="008F3771"/>
    <w:rsid w:val="008F656C"/>
    <w:rsid w:val="008F6D4C"/>
    <w:rsid w:val="00900B38"/>
    <w:rsid w:val="00902EDB"/>
    <w:rsid w:val="009032B6"/>
    <w:rsid w:val="00903707"/>
    <w:rsid w:val="0090372F"/>
    <w:rsid w:val="00903FC2"/>
    <w:rsid w:val="00906A8B"/>
    <w:rsid w:val="0091104F"/>
    <w:rsid w:val="0091220A"/>
    <w:rsid w:val="0091651A"/>
    <w:rsid w:val="00920CD0"/>
    <w:rsid w:val="00921C66"/>
    <w:rsid w:val="00922469"/>
    <w:rsid w:val="009231FC"/>
    <w:rsid w:val="00923E06"/>
    <w:rsid w:val="009257B5"/>
    <w:rsid w:val="00926175"/>
    <w:rsid w:val="00926502"/>
    <w:rsid w:val="00927B1B"/>
    <w:rsid w:val="009301B1"/>
    <w:rsid w:val="00931C81"/>
    <w:rsid w:val="0093307D"/>
    <w:rsid w:val="00933A0B"/>
    <w:rsid w:val="00937803"/>
    <w:rsid w:val="0094346D"/>
    <w:rsid w:val="00943E62"/>
    <w:rsid w:val="009451C1"/>
    <w:rsid w:val="00950232"/>
    <w:rsid w:val="0095026D"/>
    <w:rsid w:val="0095076C"/>
    <w:rsid w:val="00951013"/>
    <w:rsid w:val="009512BA"/>
    <w:rsid w:val="00951C39"/>
    <w:rsid w:val="00951E14"/>
    <w:rsid w:val="00952CBB"/>
    <w:rsid w:val="00953C2C"/>
    <w:rsid w:val="0096007E"/>
    <w:rsid w:val="009647E8"/>
    <w:rsid w:val="009679B9"/>
    <w:rsid w:val="00972EE3"/>
    <w:rsid w:val="009739F0"/>
    <w:rsid w:val="0097557C"/>
    <w:rsid w:val="00987B62"/>
    <w:rsid w:val="00994084"/>
    <w:rsid w:val="00994ACC"/>
    <w:rsid w:val="009A20EC"/>
    <w:rsid w:val="009A622F"/>
    <w:rsid w:val="009B6E5A"/>
    <w:rsid w:val="009B7ACE"/>
    <w:rsid w:val="009C526E"/>
    <w:rsid w:val="009C76A9"/>
    <w:rsid w:val="009C76DC"/>
    <w:rsid w:val="009D1020"/>
    <w:rsid w:val="009D4458"/>
    <w:rsid w:val="009E1003"/>
    <w:rsid w:val="009E4AE6"/>
    <w:rsid w:val="009E6F19"/>
    <w:rsid w:val="009E7B0F"/>
    <w:rsid w:val="009E7FB0"/>
    <w:rsid w:val="009F146A"/>
    <w:rsid w:val="009F475A"/>
    <w:rsid w:val="009F4A49"/>
    <w:rsid w:val="009F599A"/>
    <w:rsid w:val="00A007D3"/>
    <w:rsid w:val="00A009F0"/>
    <w:rsid w:val="00A01E52"/>
    <w:rsid w:val="00A05154"/>
    <w:rsid w:val="00A119CA"/>
    <w:rsid w:val="00A208C4"/>
    <w:rsid w:val="00A21F8A"/>
    <w:rsid w:val="00A24CE1"/>
    <w:rsid w:val="00A261CB"/>
    <w:rsid w:val="00A26DEA"/>
    <w:rsid w:val="00A30AE2"/>
    <w:rsid w:val="00A31A83"/>
    <w:rsid w:val="00A371B8"/>
    <w:rsid w:val="00A416F7"/>
    <w:rsid w:val="00A41D10"/>
    <w:rsid w:val="00A436AD"/>
    <w:rsid w:val="00A4619D"/>
    <w:rsid w:val="00A47B70"/>
    <w:rsid w:val="00A47FBD"/>
    <w:rsid w:val="00A51DF5"/>
    <w:rsid w:val="00A523F9"/>
    <w:rsid w:val="00A53C44"/>
    <w:rsid w:val="00A54B03"/>
    <w:rsid w:val="00A56BC8"/>
    <w:rsid w:val="00A6099F"/>
    <w:rsid w:val="00A61780"/>
    <w:rsid w:val="00A629A0"/>
    <w:rsid w:val="00A63044"/>
    <w:rsid w:val="00A633BA"/>
    <w:rsid w:val="00A64547"/>
    <w:rsid w:val="00A65647"/>
    <w:rsid w:val="00A67FAE"/>
    <w:rsid w:val="00A70033"/>
    <w:rsid w:val="00A734D7"/>
    <w:rsid w:val="00A75DF0"/>
    <w:rsid w:val="00A771D6"/>
    <w:rsid w:val="00A80292"/>
    <w:rsid w:val="00A849A5"/>
    <w:rsid w:val="00A8536E"/>
    <w:rsid w:val="00A873A2"/>
    <w:rsid w:val="00A908EC"/>
    <w:rsid w:val="00A926A5"/>
    <w:rsid w:val="00A92A28"/>
    <w:rsid w:val="00A93F19"/>
    <w:rsid w:val="00A94DD2"/>
    <w:rsid w:val="00AA3763"/>
    <w:rsid w:val="00AA51D5"/>
    <w:rsid w:val="00AB44E6"/>
    <w:rsid w:val="00AB578E"/>
    <w:rsid w:val="00AC0148"/>
    <w:rsid w:val="00AC0216"/>
    <w:rsid w:val="00AC0A4F"/>
    <w:rsid w:val="00AC7D7D"/>
    <w:rsid w:val="00AD0303"/>
    <w:rsid w:val="00AD0ED7"/>
    <w:rsid w:val="00AD2439"/>
    <w:rsid w:val="00AD5EFC"/>
    <w:rsid w:val="00AD62F3"/>
    <w:rsid w:val="00AE7D41"/>
    <w:rsid w:val="00AF0D9B"/>
    <w:rsid w:val="00AF1959"/>
    <w:rsid w:val="00AF613B"/>
    <w:rsid w:val="00AF7EE7"/>
    <w:rsid w:val="00B03359"/>
    <w:rsid w:val="00B03CBB"/>
    <w:rsid w:val="00B045C5"/>
    <w:rsid w:val="00B1195A"/>
    <w:rsid w:val="00B11A6E"/>
    <w:rsid w:val="00B11DA1"/>
    <w:rsid w:val="00B176DE"/>
    <w:rsid w:val="00B2210B"/>
    <w:rsid w:val="00B2282E"/>
    <w:rsid w:val="00B32E5D"/>
    <w:rsid w:val="00B330FC"/>
    <w:rsid w:val="00B367E9"/>
    <w:rsid w:val="00B402F9"/>
    <w:rsid w:val="00B406D0"/>
    <w:rsid w:val="00B40B7F"/>
    <w:rsid w:val="00B41FD5"/>
    <w:rsid w:val="00B47C76"/>
    <w:rsid w:val="00B51673"/>
    <w:rsid w:val="00B545AC"/>
    <w:rsid w:val="00B57539"/>
    <w:rsid w:val="00B575C4"/>
    <w:rsid w:val="00B61B18"/>
    <w:rsid w:val="00B62558"/>
    <w:rsid w:val="00B632E2"/>
    <w:rsid w:val="00B63694"/>
    <w:rsid w:val="00B65052"/>
    <w:rsid w:val="00B662D4"/>
    <w:rsid w:val="00B672A3"/>
    <w:rsid w:val="00B7106F"/>
    <w:rsid w:val="00B7376B"/>
    <w:rsid w:val="00B73AF7"/>
    <w:rsid w:val="00B75E2B"/>
    <w:rsid w:val="00B777C3"/>
    <w:rsid w:val="00B831CC"/>
    <w:rsid w:val="00B855B7"/>
    <w:rsid w:val="00B86739"/>
    <w:rsid w:val="00B873B4"/>
    <w:rsid w:val="00B9027B"/>
    <w:rsid w:val="00B9099B"/>
    <w:rsid w:val="00B92F44"/>
    <w:rsid w:val="00B94043"/>
    <w:rsid w:val="00B95489"/>
    <w:rsid w:val="00BA075E"/>
    <w:rsid w:val="00BA088A"/>
    <w:rsid w:val="00BA5055"/>
    <w:rsid w:val="00BB2BDD"/>
    <w:rsid w:val="00BB3DA2"/>
    <w:rsid w:val="00BC194E"/>
    <w:rsid w:val="00BC2AC7"/>
    <w:rsid w:val="00BC65A6"/>
    <w:rsid w:val="00BD0C03"/>
    <w:rsid w:val="00BD1409"/>
    <w:rsid w:val="00BD1666"/>
    <w:rsid w:val="00BD3DC3"/>
    <w:rsid w:val="00BE12A6"/>
    <w:rsid w:val="00BE39F7"/>
    <w:rsid w:val="00BE4E16"/>
    <w:rsid w:val="00BE6C33"/>
    <w:rsid w:val="00BF4E7B"/>
    <w:rsid w:val="00C003B6"/>
    <w:rsid w:val="00C033C9"/>
    <w:rsid w:val="00C07051"/>
    <w:rsid w:val="00C140D6"/>
    <w:rsid w:val="00C14FAC"/>
    <w:rsid w:val="00C20C3A"/>
    <w:rsid w:val="00C21B22"/>
    <w:rsid w:val="00C23E88"/>
    <w:rsid w:val="00C30565"/>
    <w:rsid w:val="00C36367"/>
    <w:rsid w:val="00C4141B"/>
    <w:rsid w:val="00C43858"/>
    <w:rsid w:val="00C47B8A"/>
    <w:rsid w:val="00C56600"/>
    <w:rsid w:val="00C6009C"/>
    <w:rsid w:val="00C6071C"/>
    <w:rsid w:val="00C624F6"/>
    <w:rsid w:val="00C635AE"/>
    <w:rsid w:val="00C668C3"/>
    <w:rsid w:val="00C67F70"/>
    <w:rsid w:val="00C7103F"/>
    <w:rsid w:val="00C7280E"/>
    <w:rsid w:val="00C740DF"/>
    <w:rsid w:val="00C749C7"/>
    <w:rsid w:val="00C76DEA"/>
    <w:rsid w:val="00C83892"/>
    <w:rsid w:val="00C83B89"/>
    <w:rsid w:val="00C8604B"/>
    <w:rsid w:val="00C865A5"/>
    <w:rsid w:val="00C87605"/>
    <w:rsid w:val="00C90E79"/>
    <w:rsid w:val="00C92896"/>
    <w:rsid w:val="00C93948"/>
    <w:rsid w:val="00C9684A"/>
    <w:rsid w:val="00CA4A45"/>
    <w:rsid w:val="00CA6B5C"/>
    <w:rsid w:val="00CA7FEC"/>
    <w:rsid w:val="00CB207A"/>
    <w:rsid w:val="00CB4A16"/>
    <w:rsid w:val="00CB688D"/>
    <w:rsid w:val="00CB6983"/>
    <w:rsid w:val="00CC09BC"/>
    <w:rsid w:val="00CC3949"/>
    <w:rsid w:val="00CC4B36"/>
    <w:rsid w:val="00CC5DB3"/>
    <w:rsid w:val="00CC6485"/>
    <w:rsid w:val="00CD32F9"/>
    <w:rsid w:val="00CD55B6"/>
    <w:rsid w:val="00CE0CC1"/>
    <w:rsid w:val="00CE39FD"/>
    <w:rsid w:val="00CF2389"/>
    <w:rsid w:val="00D00425"/>
    <w:rsid w:val="00D01D2A"/>
    <w:rsid w:val="00D053E8"/>
    <w:rsid w:val="00D05AB8"/>
    <w:rsid w:val="00D065E2"/>
    <w:rsid w:val="00D11D2D"/>
    <w:rsid w:val="00D11FCF"/>
    <w:rsid w:val="00D1431E"/>
    <w:rsid w:val="00D1502D"/>
    <w:rsid w:val="00D157B7"/>
    <w:rsid w:val="00D30CE5"/>
    <w:rsid w:val="00D43386"/>
    <w:rsid w:val="00D45DD8"/>
    <w:rsid w:val="00D46969"/>
    <w:rsid w:val="00D517B3"/>
    <w:rsid w:val="00D54B80"/>
    <w:rsid w:val="00D607B7"/>
    <w:rsid w:val="00D63425"/>
    <w:rsid w:val="00D639E5"/>
    <w:rsid w:val="00D641F8"/>
    <w:rsid w:val="00D65547"/>
    <w:rsid w:val="00D656F8"/>
    <w:rsid w:val="00D65ECF"/>
    <w:rsid w:val="00D67213"/>
    <w:rsid w:val="00D6737B"/>
    <w:rsid w:val="00D706BD"/>
    <w:rsid w:val="00D7190D"/>
    <w:rsid w:val="00D723FB"/>
    <w:rsid w:val="00D74211"/>
    <w:rsid w:val="00D748A8"/>
    <w:rsid w:val="00D9013C"/>
    <w:rsid w:val="00D923DC"/>
    <w:rsid w:val="00D9264C"/>
    <w:rsid w:val="00D92FE5"/>
    <w:rsid w:val="00D958AF"/>
    <w:rsid w:val="00D96CD7"/>
    <w:rsid w:val="00DB1290"/>
    <w:rsid w:val="00DB15A2"/>
    <w:rsid w:val="00DB61AB"/>
    <w:rsid w:val="00DB6BE0"/>
    <w:rsid w:val="00DC2443"/>
    <w:rsid w:val="00DD026C"/>
    <w:rsid w:val="00DE53F3"/>
    <w:rsid w:val="00DE56C5"/>
    <w:rsid w:val="00DE6640"/>
    <w:rsid w:val="00DF28C0"/>
    <w:rsid w:val="00DF61E7"/>
    <w:rsid w:val="00DF6528"/>
    <w:rsid w:val="00E1356E"/>
    <w:rsid w:val="00E163BE"/>
    <w:rsid w:val="00E21C0A"/>
    <w:rsid w:val="00E2249E"/>
    <w:rsid w:val="00E23BBD"/>
    <w:rsid w:val="00E271BB"/>
    <w:rsid w:val="00E274AF"/>
    <w:rsid w:val="00E32F31"/>
    <w:rsid w:val="00E37FE8"/>
    <w:rsid w:val="00E40A2A"/>
    <w:rsid w:val="00E457F2"/>
    <w:rsid w:val="00E523D1"/>
    <w:rsid w:val="00E5279E"/>
    <w:rsid w:val="00E53553"/>
    <w:rsid w:val="00E53693"/>
    <w:rsid w:val="00E55322"/>
    <w:rsid w:val="00E57CD5"/>
    <w:rsid w:val="00E615A1"/>
    <w:rsid w:val="00E61E1F"/>
    <w:rsid w:val="00E62E89"/>
    <w:rsid w:val="00E63F50"/>
    <w:rsid w:val="00E653A8"/>
    <w:rsid w:val="00E736AD"/>
    <w:rsid w:val="00E74ED1"/>
    <w:rsid w:val="00E761DC"/>
    <w:rsid w:val="00E770C4"/>
    <w:rsid w:val="00E83843"/>
    <w:rsid w:val="00E84BFF"/>
    <w:rsid w:val="00E854BF"/>
    <w:rsid w:val="00E93D38"/>
    <w:rsid w:val="00E969A6"/>
    <w:rsid w:val="00EA0A27"/>
    <w:rsid w:val="00EA108E"/>
    <w:rsid w:val="00EA36B0"/>
    <w:rsid w:val="00EA42C4"/>
    <w:rsid w:val="00EA4710"/>
    <w:rsid w:val="00EA565D"/>
    <w:rsid w:val="00EA7801"/>
    <w:rsid w:val="00EB1CFA"/>
    <w:rsid w:val="00EB3C40"/>
    <w:rsid w:val="00EB6B82"/>
    <w:rsid w:val="00EB6D30"/>
    <w:rsid w:val="00EB7625"/>
    <w:rsid w:val="00EB77BF"/>
    <w:rsid w:val="00EC055D"/>
    <w:rsid w:val="00EC05E8"/>
    <w:rsid w:val="00EC1877"/>
    <w:rsid w:val="00EC1A59"/>
    <w:rsid w:val="00EC1CC9"/>
    <w:rsid w:val="00ED3526"/>
    <w:rsid w:val="00EE08FF"/>
    <w:rsid w:val="00EE321A"/>
    <w:rsid w:val="00EE488D"/>
    <w:rsid w:val="00EE4AEE"/>
    <w:rsid w:val="00EF47AC"/>
    <w:rsid w:val="00F000B8"/>
    <w:rsid w:val="00F00641"/>
    <w:rsid w:val="00F00F01"/>
    <w:rsid w:val="00F0282F"/>
    <w:rsid w:val="00F039AB"/>
    <w:rsid w:val="00F03A44"/>
    <w:rsid w:val="00F04127"/>
    <w:rsid w:val="00F065A3"/>
    <w:rsid w:val="00F21207"/>
    <w:rsid w:val="00F23A0F"/>
    <w:rsid w:val="00F25D37"/>
    <w:rsid w:val="00F2762C"/>
    <w:rsid w:val="00F35AB0"/>
    <w:rsid w:val="00F42933"/>
    <w:rsid w:val="00F45676"/>
    <w:rsid w:val="00F473EE"/>
    <w:rsid w:val="00F53650"/>
    <w:rsid w:val="00F54A89"/>
    <w:rsid w:val="00F56674"/>
    <w:rsid w:val="00F60B4E"/>
    <w:rsid w:val="00F60D2E"/>
    <w:rsid w:val="00F67690"/>
    <w:rsid w:val="00F67CD3"/>
    <w:rsid w:val="00F70DE1"/>
    <w:rsid w:val="00F73DEE"/>
    <w:rsid w:val="00F7437B"/>
    <w:rsid w:val="00F753A8"/>
    <w:rsid w:val="00F81311"/>
    <w:rsid w:val="00F818DE"/>
    <w:rsid w:val="00F82399"/>
    <w:rsid w:val="00F87324"/>
    <w:rsid w:val="00F943A2"/>
    <w:rsid w:val="00F97017"/>
    <w:rsid w:val="00FA1D88"/>
    <w:rsid w:val="00FA5D69"/>
    <w:rsid w:val="00FB1A5B"/>
    <w:rsid w:val="00FB1F80"/>
    <w:rsid w:val="00FB3C33"/>
    <w:rsid w:val="00FB3E9E"/>
    <w:rsid w:val="00FB4143"/>
    <w:rsid w:val="00FB560E"/>
    <w:rsid w:val="00FB5A79"/>
    <w:rsid w:val="00FB672F"/>
    <w:rsid w:val="00FB7495"/>
    <w:rsid w:val="00FC1EF3"/>
    <w:rsid w:val="00FC3EE4"/>
    <w:rsid w:val="00FC41DA"/>
    <w:rsid w:val="00FC7626"/>
    <w:rsid w:val="00FC7A9F"/>
    <w:rsid w:val="00FD245D"/>
    <w:rsid w:val="00FD602A"/>
    <w:rsid w:val="00FE16A2"/>
    <w:rsid w:val="00FF02A0"/>
    <w:rsid w:val="00FF0658"/>
    <w:rsid w:val="00FF2836"/>
    <w:rsid w:val="00FF3669"/>
    <w:rsid w:val="00FF3EBC"/>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shapelayout v:ext="edit">
      <o:idmap v:ext="edit" data="1"/>
    </o:shapelayout>
  </w:shapeDefaults>
  <w:decimalSymbol w:val="."/>
  <w:listSeparator w:val=","/>
  <w14:docId w14:val="6C596816"/>
  <w15:docId w15:val="{BEA47B4E-4CC5-4150-BBA0-242DE518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1"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numPr>
        <w:ilvl w:val="1"/>
        <w:numId w:val="9"/>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numPr>
        <w:ilvl w:val="2"/>
        <w:numId w:val="9"/>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9"/>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link w:val="ListBulletChar"/>
    <w:uiPriority w:val="11"/>
    <w:qFormat/>
    <w:rsid w:val="00810C35"/>
    <w:pPr>
      <w:numPr>
        <w:numId w:val="22"/>
      </w:numPr>
      <w:spacing w:before="40" w:after="40"/>
      <w:ind w:left="340" w:hanging="3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810C35"/>
    <w:pPr>
      <w:numPr>
        <w:numId w:val="24"/>
      </w:numPr>
      <w:ind w:left="680" w:hanging="340"/>
    </w:pPr>
  </w:style>
  <w:style w:type="paragraph" w:styleId="ListBullet3">
    <w:name w:val="List Bullet 3"/>
    <w:basedOn w:val="ListBullet"/>
    <w:uiPriority w:val="19"/>
    <w:unhideWhenUsed/>
    <w:rsid w:val="00A261CB"/>
    <w:pPr>
      <w:tabs>
        <w:tab w:val="num" w:pos="1020"/>
      </w:tabs>
      <w:ind w:left="1020"/>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11"/>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12"/>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7"/>
      </w:numPr>
      <w:tabs>
        <w:tab w:val="num" w:pos="360"/>
      </w:tabs>
      <w:contextualSpacing/>
    </w:pPr>
  </w:style>
  <w:style w:type="paragraph" w:customStyle="1" w:styleId="BodyBullet2">
    <w:name w:val="Body Bullet 2"/>
    <w:basedOn w:val="BodyBullet1"/>
    <w:semiHidden/>
    <w:qFormat/>
    <w:rsid w:val="00796555"/>
    <w:pPr>
      <w:numPr>
        <w:numId w:val="8"/>
      </w:numPr>
      <w:tabs>
        <w:tab w:val="num" w:pos="360"/>
      </w:tabs>
    </w:pPr>
  </w:style>
  <w:style w:type="paragraph" w:styleId="BodyText">
    <w:name w:val="Body Text"/>
    <w:basedOn w:val="Normal"/>
    <w:link w:val="BodyTextChar"/>
    <w:uiPriority w:val="5"/>
    <w:rsid w:val="008D08EA"/>
    <w:pPr>
      <w:spacing w:before="140" w:after="140"/>
    </w:pPr>
    <w:rPr>
      <w:szCs w:val="18"/>
    </w:rPr>
  </w:style>
  <w:style w:type="character" w:customStyle="1" w:styleId="BodyTextChar">
    <w:name w:val="Body Text Char"/>
    <w:basedOn w:val="DefaultParagraphFont"/>
    <w:link w:val="BodyText"/>
    <w:uiPriority w:val="5"/>
    <w:rsid w:val="008D08EA"/>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MetaBoldLF-Roman" w:hAnsi="MetaBoldLF-Roman"/>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MetaBoldLF-Roman" w:hAnsi="MetaBoldLF-Roman"/>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11"/>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unhideWhenUsed/>
    <w:rsid w:val="009B6E5A"/>
    <w:rPr>
      <w:sz w:val="16"/>
      <w:szCs w:val="16"/>
    </w:rPr>
  </w:style>
  <w:style w:type="paragraph" w:styleId="ListParagraph">
    <w:name w:val="List Paragraph"/>
    <w:basedOn w:val="Normal"/>
    <w:link w:val="ListParagraphChar"/>
    <w:uiPriority w:val="34"/>
    <w:qFormat/>
    <w:rsid w:val="002F05A8"/>
    <w:pPr>
      <w:spacing w:after="200"/>
      <w:ind w:left="720"/>
      <w:contextualSpacing/>
      <w:jc w:val="both"/>
    </w:pPr>
    <w:rPr>
      <w:rFonts w:asciiTheme="minorHAnsi" w:hAnsiTheme="minorHAnsi" w:cstheme="minorHAnsi"/>
      <w:sz w:val="22"/>
      <w:szCs w:val="22"/>
      <w:shd w:val="clear" w:color="auto" w:fill="FFFFFF"/>
    </w:rPr>
  </w:style>
  <w:style w:type="character" w:customStyle="1" w:styleId="ListParagraphChar">
    <w:name w:val="List Paragraph Char"/>
    <w:basedOn w:val="DefaultParagraphFont"/>
    <w:link w:val="ListParagraph"/>
    <w:uiPriority w:val="34"/>
    <w:rsid w:val="002F05A8"/>
    <w:rPr>
      <w:rFonts w:eastAsiaTheme="minorHAnsi" w:cstheme="minorHAnsi"/>
      <w:color w:val="333333"/>
      <w:lang w:val="en-AU"/>
    </w:rPr>
  </w:style>
  <w:style w:type="character" w:styleId="FollowedHyperlink">
    <w:name w:val="FollowedHyperlink"/>
    <w:basedOn w:val="DefaultParagraphFont"/>
    <w:uiPriority w:val="99"/>
    <w:semiHidden/>
    <w:unhideWhenUsed/>
    <w:rsid w:val="00864B57"/>
    <w:rPr>
      <w:color w:val="8D009F" w:themeColor="followedHyperlink"/>
      <w:u w:val="single"/>
    </w:rPr>
  </w:style>
  <w:style w:type="paragraph" w:styleId="Revision">
    <w:name w:val="Revision"/>
    <w:hidden/>
    <w:uiPriority w:val="99"/>
    <w:semiHidden/>
    <w:rsid w:val="00C4141B"/>
    <w:rPr>
      <w:rFonts w:ascii="Arial" w:eastAsiaTheme="minorHAnsi" w:hAnsi="Arial"/>
      <w:color w:val="333333"/>
      <w:sz w:val="18"/>
      <w:szCs w:val="20"/>
      <w:lang w:val="en-AU"/>
    </w:rPr>
  </w:style>
  <w:style w:type="paragraph" w:customStyle="1" w:styleId="Bullet2">
    <w:name w:val="Bullet_2"/>
    <w:basedOn w:val="ListBullet"/>
    <w:link w:val="Bullet2Char"/>
    <w:uiPriority w:val="24"/>
    <w:qFormat/>
    <w:rsid w:val="00C23E88"/>
    <w:pPr>
      <w:numPr>
        <w:ilvl w:val="1"/>
      </w:numPr>
    </w:pPr>
  </w:style>
  <w:style w:type="character" w:customStyle="1" w:styleId="ListBulletChar">
    <w:name w:val="List Bullet Char"/>
    <w:basedOn w:val="DefaultParagraphFont"/>
    <w:link w:val="ListBullet"/>
    <w:uiPriority w:val="11"/>
    <w:rsid w:val="00C23E88"/>
    <w:rPr>
      <w:rFonts w:ascii="Arial" w:eastAsiaTheme="minorHAnsi" w:hAnsi="Arial"/>
      <w:color w:val="404040" w:themeColor="text1" w:themeTint="BF"/>
      <w:sz w:val="18"/>
      <w:szCs w:val="18"/>
      <w:lang w:val="en-AU"/>
    </w:rPr>
  </w:style>
  <w:style w:type="character" w:customStyle="1" w:styleId="Bullet2Char">
    <w:name w:val="Bullet_2 Char"/>
    <w:basedOn w:val="ListBulletChar"/>
    <w:link w:val="Bullet2"/>
    <w:uiPriority w:val="24"/>
    <w:rsid w:val="00C23E88"/>
    <w:rPr>
      <w:rFonts w:ascii="Arial" w:eastAsiaTheme="minorHAnsi" w:hAnsi="Arial"/>
      <w:color w:val="404040" w:themeColor="text1" w:themeTint="BF"/>
      <w:sz w:val="18"/>
      <w:szCs w:val="18"/>
      <w:lang w:val="en-AU"/>
    </w:rPr>
  </w:style>
  <w:style w:type="paragraph" w:customStyle="1" w:styleId="ListBulletLevel2">
    <w:name w:val="List Bullet Level2"/>
    <w:basedOn w:val="ListBullet"/>
    <w:uiPriority w:val="24"/>
    <w:qFormat/>
    <w:rsid w:val="00A47FBD"/>
    <w:pPr>
      <w:numPr>
        <w:ilvl w:val="1"/>
        <w:numId w:val="36"/>
      </w:numPr>
    </w:pPr>
  </w:style>
  <w:style w:type="character" w:styleId="UnresolvedMention">
    <w:name w:val="Unresolved Mention"/>
    <w:basedOn w:val="DefaultParagraphFont"/>
    <w:uiPriority w:val="99"/>
    <w:semiHidden/>
    <w:unhideWhenUsed/>
    <w:rsid w:val="001D4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523">
      <w:bodyDiv w:val="1"/>
      <w:marLeft w:val="0"/>
      <w:marRight w:val="0"/>
      <w:marTop w:val="0"/>
      <w:marBottom w:val="0"/>
      <w:divBdr>
        <w:top w:val="none" w:sz="0" w:space="0" w:color="auto"/>
        <w:left w:val="none" w:sz="0" w:space="0" w:color="auto"/>
        <w:bottom w:val="none" w:sz="0" w:space="0" w:color="auto"/>
        <w:right w:val="none" w:sz="0" w:space="0" w:color="auto"/>
      </w:divBdr>
    </w:div>
    <w:div w:id="352221981">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503930289">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tudy.vic.gov.au/Shared%20Documents/en/School_Toolkit/ISP_Transfer_Procedure.docx" TargetMode="External"/><Relationship Id="rId18" Type="http://schemas.openxmlformats.org/officeDocument/2006/relationships/hyperlink" Target="https://www.study.vic.gov.au/Shared%20Documents/en/School_Toolkit/ISP_Record_Keeping_Procedural_Guidelines.docx" TargetMode="External"/><Relationship Id="rId26" Type="http://schemas.openxmlformats.org/officeDocument/2006/relationships/hyperlink" Target="https://www.study.vic.gov.au/Shared%20Documents/en/Withdrawal-Application-Form.pdf" TargetMode="External"/><Relationship Id="rId39" Type="http://schemas.openxmlformats.org/officeDocument/2006/relationships/fontTable" Target="fontTable.xml"/><Relationship Id="rId21" Type="http://schemas.openxmlformats.org/officeDocument/2006/relationships/hyperlink" Target="https://www.study.vic.gov.au/Shared%20Documents/en/School_Toolkit/ISP_Complaints_and_Appeals_Policy.docx." TargetMode="External"/><Relationship Id="rId34" Type="http://schemas.openxmlformats.org/officeDocument/2006/relationships/hyperlink" Target="https://www2.education.vic.gov.au/pal/international-student-program/guidance/transfers-and-cancellations-section-8" TargetMode="External"/><Relationship Id="rId7" Type="http://schemas.openxmlformats.org/officeDocument/2006/relationships/styles" Target="styles.xml"/><Relationship Id="rId12" Type="http://schemas.openxmlformats.org/officeDocument/2006/relationships/hyperlink" Target="https://www.study.vic.gov.au/Shared%20Documents/en/School_Toolkit/ISP_Admissions_and_Enrolment_Policy.docx" TargetMode="External"/><Relationship Id="rId17" Type="http://schemas.openxmlformats.org/officeDocument/2006/relationships/hyperlink" Target="https://www2.education.vic.gov.au/pal/enrolment/guidance/student-transfers-between-schools" TargetMode="External"/><Relationship Id="rId25" Type="http://schemas.openxmlformats.org/officeDocument/2006/relationships/hyperlink" Target="https://www.study.vic.gov.au/Shared%20Documents/en/Transfer-Application-Form.pdf" TargetMode="External"/><Relationship Id="rId33" Type="http://schemas.openxmlformats.org/officeDocument/2006/relationships/hyperlink" Target="https://www.study.vic.gov.au/en/brochures-and-forms/Pages/BrochureForms.aspx"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tudy.vic.gov.au/Shared%20Documents/en/School_Toolkit/ISP_Complaints_and_Appeals_Policy.docx." TargetMode="External"/><Relationship Id="rId20" Type="http://schemas.openxmlformats.org/officeDocument/2006/relationships/hyperlink" Target="https://www.study.vic.gov.au/Shared%20Documents/en/School_Toolkit/ISP_Course_Progress_Policy.docx" TargetMode="External"/><Relationship Id="rId29" Type="http://schemas.openxmlformats.org/officeDocument/2006/relationships/hyperlink" Target="https://www.study.vic.gov.au/Shared%20Documents/en/School_Toolkit/ISP_Course_Progress_Policy.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udy.vic.gov.au/Shared%20Documents/en/School_Toolkit/ISP_Transfer_Procedure.docx" TargetMode="External"/><Relationship Id="rId32" Type="http://schemas.openxmlformats.org/officeDocument/2006/relationships/hyperlink" Target="https://www.study.vic.gov.au/Shared%20Documents/en/School_Toolkit/ISP_Record_Keeping_Procedural_Guidelines.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tudy.vic.gov.au/Shared%20Documents/en/Transfer-Application-Form.pdf" TargetMode="External"/><Relationship Id="rId23" Type="http://schemas.openxmlformats.org/officeDocument/2006/relationships/hyperlink" Target="https://www.study.vic.gov.au/Shared%20Documents/en/School_Toolkit/ISP_Record_Keeping_Procedural_Guidelines.docx" TargetMode="External"/><Relationship Id="rId28" Type="http://schemas.openxmlformats.org/officeDocument/2006/relationships/hyperlink" Target="https://www.study.vic.gov.au/Shared%20Documents/en/School_Toolkit/ISP_Complaints_and_Appeals_Policy.docx."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tudy.vic.gov.au/Shared%20Documents/en/Withdrawal-Application-Form.pdf" TargetMode="External"/><Relationship Id="rId31" Type="http://schemas.openxmlformats.org/officeDocument/2006/relationships/hyperlink" Target="https://www.study.vic.gov.au/Shared%20Documents/en/School_Toolkit/ISP_Refund_Policy.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udy.vic.gov.au/Shared%20Documents/en/Transfer-Application-Form.pdf" TargetMode="External"/><Relationship Id="rId22" Type="http://schemas.openxmlformats.org/officeDocument/2006/relationships/hyperlink" Target="https://www.study.vic.gov.au/Shared%20Documents/en/School_Toolkit/ISP_Homestay_Policy.docx" TargetMode="External"/><Relationship Id="rId27" Type="http://schemas.openxmlformats.org/officeDocument/2006/relationships/hyperlink" Target="https://www.study.vic.gov.au/Shared%20Documents/en/School_Toolkit/ISP_Admissions_and_Enrolment_Policy.docx" TargetMode="External"/><Relationship Id="rId30" Type="http://schemas.openxmlformats.org/officeDocument/2006/relationships/hyperlink" Target="https://www.study.vic.gov.au/Shared%20Documents/en/School_Toolkit/ISP_Homestay_Policy.docx" TargetMode="External"/><Relationship Id="rId35" Type="http://schemas.openxmlformats.org/officeDocument/2006/relationships/hyperlink" Target="https://www2.education.vic.gov.au/pal/enrolment/guidance/student-transfers-between-schools" TargetMode="Externa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6040-EEA8-4C2D-B238-3D03427AD2FB}">
  <ds:schemaRefs>
    <ds:schemaRef ds:uri="513f30e4-ef4b-4508-a67c-1eb14ef752dd"/>
    <ds:schemaRef ds:uri="http://schemas.microsoft.com/sharepoint/v3"/>
    <ds:schemaRef ds:uri="http://purl.org/dc/elements/1.1/"/>
    <ds:schemaRef ds:uri="http://schemas.microsoft.com/Sharepoint/v3"/>
    <ds:schemaRef ds:uri="48d741e2-8e2c-417b-b700-80de02d16da7"/>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E45B3736-7464-4593-B15D-D15A59D996CE}">
  <ds:schemaRefs>
    <ds:schemaRef ds:uri="http://schemas.microsoft.com/sharepoint/events"/>
  </ds:schemaRefs>
</ds:datastoreItem>
</file>

<file path=customXml/itemProps4.xml><?xml version="1.0" encoding="utf-8"?>
<ds:datastoreItem xmlns:ds="http://schemas.openxmlformats.org/officeDocument/2006/customXml" ds:itemID="{353CE0D3-0955-465F-A64F-7DB44D6B5F00}"/>
</file>

<file path=customXml/itemProps5.xml><?xml version="1.0" encoding="utf-8"?>
<ds:datastoreItem xmlns:ds="http://schemas.openxmlformats.org/officeDocument/2006/customXml" ds:itemID="{FC27B44D-8243-4168-9C1B-3E789A56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Template>
  <TotalTime>2</TotalTime>
  <Pages>4</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Yurovich, Melonie L</dc:creator>
  <cp:keywords/>
  <dc:description/>
  <cp:lastModifiedBy>Melonie Yurovich</cp:lastModifiedBy>
  <cp:revision>3</cp:revision>
  <cp:lastPrinted>2019-09-06T01:03:00Z</cp:lastPrinted>
  <dcterms:created xsi:type="dcterms:W3CDTF">2022-04-19T00:27:00Z</dcterms:created>
  <dcterms:modified xsi:type="dcterms:W3CDTF">2022-04-20T03:35:00Z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{0da2b101-8f8c-49ac-9761-5d6a60b8c34a}</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R20220129730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2022-04-19T10:10:28.4355774+10:00</vt:lpwstr>
  </property>
  <property fmtid="{D5CDD505-2E9C-101B-9397-08002B2CF9AE}" pid="16" name="_docset_NoMedatataSyncRequired">
    <vt:lpwstr>False</vt:lpwstr>
  </property>
  <property fmtid="{D5CDD505-2E9C-101B-9397-08002B2CF9AE}" pid="17" name="DET_EDRMS_BusUnitTaxHTField0">
    <vt:lpwstr/>
  </property>
  <property fmtid="{D5CDD505-2E9C-101B-9397-08002B2CF9AE}" pid="18" name="DET_EDRMS_SecClassTaxHTField0">
    <vt:lpwstr/>
  </property>
  <property fmtid="{D5CDD505-2E9C-101B-9397-08002B2CF9AE}" pid="19" name="DET_EDRMS_RCSTaxHTField0">
    <vt:lpwstr>13.1.2 Internal Policy|ad985a07-89db-41e4-84da-e1a6cef79014</vt:lpwstr>
  </property>
</Properties>
</file>